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IV-2020/89 vom 26. November 2020</w:t>
      </w:r>
    </w:p>
    <w:p>
      <w:r>
        <w:t>SG Gerichte, 2020-11-26, DE</w:t>
      </w:r>
    </w:p>
    <w:p>
      <w:r>
        <w:rPr>
          <w:b/>
        </w:rPr>
        <w:t xml:space="preserve">Quelle: </w:t>
      </w:r>
      <w:r>
        <w:t>https://mcp.opencaselaw.ch/entscheid/sg_gerichte_IV-2020_89</w:t>
      </w:r>
    </w:p>
    <w:p>
      <w:r>
        <w:t>FR: SG_GERICHTE IV-2020/89 du 26 novembre 2020</w:t>
      </w:r>
    </w:p>
    <w:p>
      <w:r>
        <w:t>IT: SG_GERICHTE IV-2020/89 del 26 novembre 2020</w:t>
      </w:r>
    </w:p>
    <w:p>
      <w:pPr>
        <w:pStyle w:val="Heading2"/>
      </w:pPr>
      <w:r>
        <w:t>Regeste</w:t>
      </w:r>
    </w:p>
    <w:p>
      <w:r>
        <w:t>Art. 16b Abs. 1 lit. a, Art. 27 Abs. 1 SVG (SR 741.01), Art. 4a Abs. 2 VRV (SR 741.11), Art. 22 Abs. 1 und 3, Art. 107 Abs. 3 lit. e SSV (SR 741.21). Der Rekurrent überschritt die zulässige Höchstgeschwindigkeit innerorts um 26 km/h. Objektiv rief er damit zwar eine ernstliche Gefahr für andere Verkehrsteilnehmer hervor. Subjektiv kann ihm indessen keine Grobfahrlässigkeit vorgeworfen werden. Da die Höchstgeschwindigkeit an der Messstelle während Jahrzehnten 80 km/h betragen hatte, der Rekurrent die Strecke kannte und diese 18 Tage nach der Neusignalisation zum ersten Mal wieder befuhr, die neue Höchstgeschwindigkeit von 50 km/h übersah, war sein Verhalten insbesondere nicht rücksichtslos, vielmehr fusste dieses auf einer pflichtwidrigen Unachtsamkeit (Verwaltungsrekurskommission, Abteilung IV, 26. November 2020, IV-2020/89).</w:t>
      </w:r>
    </w:p>
    <w:p>
      <w:pPr>
        <w:pStyle w:val="Heading2"/>
      </w:pPr>
      <w:r>
        <w:t>Volltext</w:t>
      </w:r>
    </w:p>
    <w:p>
      <w:r>
        <w:t>St.Gallen Verwaltungsrekurskommission 26.11.2020 IV-2020/89 Saint-Gall Verwaltungsrekurskommission 26.11.2020 IV-2020/89 San Gallo Verwaltungsrekurskommission 26.11.2020 IV-2020/89</w:t>
      </w:r>
    </w:p>
    <w:p>
      <w:r>
        <w:t>Art. 16b Abs. 1 lit. a, Art. 27 Abs. 1 SVG (SR 741.01), Art. 4a Abs. 2 VRV (SR 741.11), Art. 22 Abs. 1 und 3, Art. 107 Abs. 3 lit. e SSV (SR 741.21). Der Rekurrent überschritt die zulässige Höchstgeschwindigkeit innerorts um 26 km/h. Objektiv rief er damit zwar eine ernstliche Gefahr für andere Verkehrsteilnehmer hervor. Subjektiv kann ihm indessen keine Grobfahrlässigkeit vorgeworfen werden. Da die Höchstgeschwindigkeit an der Messstelle während Jahrzehnten 80 km/h betragen hatte, der Rekurrent die Strecke kannte und diese 18 Tage nach der Neusignalisation zum ersten Mal wieder befuhr, die neue Höchstgeschwindigkeit von 50 km/h übersah, war sein Verhalten insbesondere nicht rücksichtslos, vielmehr fusste dieses auf einer pflichtwidrigen Unachtsamkeit (Verwaltungsrekurskommission, Abteilung IV, 26. November 2020, IV-2020/89).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