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IV-2020/88 vom 29. Oktober 2020</w:t>
      </w:r>
    </w:p>
    <w:p>
      <w:r>
        <w:t>SG Gerichte, 2020-10-29, DE</w:t>
      </w:r>
    </w:p>
    <w:p>
      <w:r>
        <w:rPr>
          <w:b/>
        </w:rPr>
        <w:t xml:space="preserve">Quelle: </w:t>
      </w:r>
      <w:r>
        <w:t>https://mcp.opencaselaw.ch/entscheid/sg_gerichte_IV-2020_88</w:t>
      </w:r>
    </w:p>
    <w:p>
      <w:r>
        <w:t>FR: SG_GERICHTE IV-2020/88 du 29 octobre 2020</w:t>
      </w:r>
    </w:p>
    <w:p>
      <w:r>
        <w:t>IT: SG_GERICHTE IV-2020/88 del 29 ottobre 2020</w:t>
      </w:r>
    </w:p>
    <w:p>
      <w:pPr>
        <w:pStyle w:val="Heading2"/>
      </w:pPr>
      <w:r>
        <w:t>Regeste</w:t>
      </w:r>
    </w:p>
    <w:p>
      <w:r>
        <w:t>Art. 16 Abs. 1 SVG (SR 741.01),. Die Voraussetzungen für die Wiederherstellung der Rekursfrist sind erfüllt. Die Rekurrentin beging zwei Widerhandlungen (Überholen an einer unübersichtlichen Stelle mit Behinderung eines entgegenkommenden Fahrzeugs und ungenügender Abstand beim Hintereinanderfahren), welche die Vorinstanz beide zu Recht als mittelschwer einstufte. Die Entzugsdauer ist demgegenüber unter Berücksichtigung der massgebenden Bemessungskriterien von vier auf zwei Monate herabzusetzen (Verwaltungsrekurskommission, Abteilung IV, 29. Oktober 2020, IV-2020/88).</w:t>
      </w:r>
    </w:p>
    <w:p>
      <w:pPr>
        <w:pStyle w:val="Heading2"/>
      </w:pPr>
      <w:r>
        <w:t>Volltext</w:t>
      </w:r>
    </w:p>
    <w:p>
      <w:r>
        <w:t>St.Gallen Verwaltungsrekurskommission 29.10.2020 IV-2020/88 Saint-Gall Verwaltungsrekurskommission 29.10.2020 IV-2020/88 San Gallo Verwaltungsrekurskommission 29.10.2020 IV-2020/88</w:t>
      </w:r>
    </w:p>
    <w:p>
      <w:r>
        <w:t>Art. 16 Abs. 1 SVG (SR 741.01),. Die Voraussetzungen für die Wiederherstellung der Rekursfrist sind erfüllt. Die Rekurrentin beging zwei Widerhandlungen (Überholen an einer unübersichtlichen Stelle mit Behinderung eines entgegenkommenden Fahrzeugs und ungenügender Abstand beim Hintereinanderfahren), welche die Vorinstanz beide zu Recht als mittelschwer einstufte. Die Entzugsdauer ist demgegenüber unter Berücksichtigung der massgebenden Bemessungskriterien von vier auf zwei Monate herabzusetzen (Verwaltungsrekurskommission, Abteilung IV, 29. Oktober 2020, IV-2020/88).</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