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IV-2020/128 vom 17. Dezember 2020</w:t>
      </w:r>
    </w:p>
    <w:p>
      <w:r>
        <w:t>SG Gerichte, 2020-12-17, DE</w:t>
      </w:r>
    </w:p>
    <w:p>
      <w:r>
        <w:rPr>
          <w:b/>
        </w:rPr>
        <w:t xml:space="preserve">Quelle: </w:t>
      </w:r>
      <w:r>
        <w:t>https://mcp.opencaselaw.ch/entscheid/sg_gerichte_IV-2020_128</w:t>
      </w:r>
    </w:p>
    <w:p>
      <w:r>
        <w:t>FR: SG_GERICHTE IV-2020/128 du 17 décembre 2020</w:t>
      </w:r>
    </w:p>
    <w:p>
      <w:r>
        <w:t>IT: SG_GERICHTE IV-2020/128 del 17 dicembre 2020</w:t>
      </w:r>
    </w:p>
    <w:p>
      <w:pPr>
        <w:pStyle w:val="Heading2"/>
      </w:pPr>
      <w:r>
        <w:t>Regeste</w:t>
      </w:r>
    </w:p>
    <w:p>
      <w:r>
        <w:t>Art. 27bis Abs. 1 lit. b SVAG (sGS 711.70), Ziff. 206.02.1 VGT (sGS 718.1), Art. 16a Abs. 1 lit. a SVG (SR 741.01). Wird nur die Gebühr einer Administrativmassnahme angefochten (und nicht auch die Massnahme als solche), ist zuerst Einsprache beim Strassenverkehrsamt zu erheben. Erst der Einspracheentscheid kann dann an die Verwaltungsrekurskommission weitergezogen werden (Verwaltungsrekurskommission, Abteilung IV, 17. Dezember 2020, IV-2020/128).</w:t>
      </w:r>
    </w:p>
    <w:p>
      <w:pPr>
        <w:pStyle w:val="Heading2"/>
      </w:pPr>
      <w:r>
        <w:t>Volltext</w:t>
      </w:r>
    </w:p>
    <w:p>
      <w:r>
        <w:t>St.Gallen Verwaltungsrekurskommission 17.12.2020 IV-2020/128 Saint-Gall Verwaltungsrekurskommission 17.12.2020 IV-2020/128 San Gallo Verwaltungsrekurskommission 17.12.2020 IV-2020/128</w:t>
      </w:r>
    </w:p>
    <w:p>
      <w:r>
        <w:t>Art. 27bis Abs. 1 lit. b SVAG (sGS 711.70), Ziff. 206.02.1 VGT (sGS 718.1), Art. 16a Abs. 1 lit. a SVG (SR 741.01). Wird nur die Gebühr einer Administrativmassnahme angefochten (und nicht auch die Massnahme als solche), ist zuerst Einsprache beim Strassenverkehrsamt zu erheben. Erst der Einspracheentscheid kann dann an die Verwaltungsrekurskommission weitergezogen werden (Verwaltungsrekurskommission, Abteilung IV, 17. Dezember 2020, IV-2020/128).</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