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IV-2019/85 vom 9. Januar 2020</w:t>
      </w:r>
    </w:p>
    <w:p>
      <w:r>
        <w:t>SG Gerichte, 2020-01-09, DE</w:t>
      </w:r>
    </w:p>
    <w:p>
      <w:r>
        <w:rPr>
          <w:b/>
        </w:rPr>
        <w:t xml:space="preserve">Quelle: </w:t>
      </w:r>
      <w:r>
        <w:t>https://mcp.opencaselaw.ch/entscheid/sg_gerichte_IV-2019_85</w:t>
      </w:r>
    </w:p>
    <w:p>
      <w:r>
        <w:t>FR: SG_GERICHTE IV-2019/85 du 9 janvier 2020</w:t>
      </w:r>
    </w:p>
    <w:p>
      <w:r>
        <w:t>IT: SG_GERICHTE IV-2019/85 del 9 gennaio 2020</w:t>
      </w:r>
    </w:p>
    <w:p>
      <w:pPr>
        <w:pStyle w:val="Heading2"/>
      </w:pPr>
      <w:r>
        <w:t>Regeste</w:t>
      </w:r>
    </w:p>
    <w:p>
      <w:r>
        <w:t>Art. 14 Abs. 1 und Abs. 2 lit. c SVG (SR 741.01). Der Rekurrent lenkte innerhalb von etwas mehr als einem Jahr zweimal ein Motorfahrzeug in alkoholisiertem Zustand. Entgegen den Ausführungen im verkehrsmedizinischen Gutachten ist ein verkehrsrelevanter Alkoholmissbrauch in der Vergangenheit nicht nachgewiesen. Da der Rekurrent eine beinahe einjährige Alkoholabstinenz vorweisen kann, erscheint die verfügte Auflage der Alkoholtotalabstinenz nicht mehr verhältnismässig. Da sich eine ersatzlose Aufhebung der Alkoholabstinenz nicht rechtfertigen lässt, wurde auf eine einjährige Alkoholfahrabstinenz erkannt (Verwaltungsrekurskommission, Abteilung IV, 9. Januar 2020, IV-2019/85).</w:t>
      </w:r>
    </w:p>
    <w:p>
      <w:pPr>
        <w:pStyle w:val="Heading2"/>
      </w:pPr>
      <w:r>
        <w:t>Volltext</w:t>
      </w:r>
    </w:p>
    <w:p>
      <w:r>
        <w:t>St.Gallen Verwaltungsrekurskommission 09.01.2020 IV-2019/85 Saint-Gall Verwaltungsrekurskommission 09.01.2020 IV-2019/85 San Gallo Verwaltungsrekurskommission 09.01.2020 IV-2019/85</w:t>
      </w:r>
    </w:p>
    <w:p>
      <w:r>
        <w:t>Art. 14 Abs. 1 und Abs. 2 lit. c SVG (SR 741.01). Der Rekurrent lenkte innerhalb von etwas mehr als einem Jahr zweimal ein Motorfahrzeug in alkoholisiertem Zustand. Entgegen den Ausführungen im verkehrsmedizinischen Gutachten ist ein verkehrsrelevanter Alkoholmissbrauch in der Vergangenheit nicht nachgewiesen. Da der Rekurrent eine beinahe einjährige Alkoholabstinenz vorweisen kann, erscheint die verfügte Auflage der Alkoholtotalabstinenz nicht mehr verhältnismässig. Da sich eine ersatzlose Aufhebung der Alkoholabstinenz nicht rechtfertigen lässt, wurde auf eine einjährige Alkoholfahrabstinenz erkannt (Verwaltungsrekurskommission, Abteilung IV, 9. Januar 2020, IV-2019/85).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