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IV-2019/3 vom 27. Juni 2019</w:t>
      </w:r>
    </w:p>
    <w:p>
      <w:r>
        <w:t>SG Gerichte, 2019-06-27, DE</w:t>
      </w:r>
    </w:p>
    <w:p>
      <w:r>
        <w:rPr>
          <w:b/>
        </w:rPr>
        <w:t xml:space="preserve">Quelle: </w:t>
      </w:r>
      <w:r>
        <w:t>https://mcp.opencaselaw.ch/entscheid/sg_gerichte_IV-2019_3</w:t>
      </w:r>
    </w:p>
    <w:p>
      <w:r>
        <w:t>FR: SG_GERICHTE IV-2019/3 du 27 juin 2019</w:t>
      </w:r>
    </w:p>
    <w:p>
      <w:r>
        <w:t>IT: SG_GERICHTE IV-2019/3 del 27 giugno 2019</w:t>
      </w:r>
    </w:p>
    <w:p>
      <w:pPr>
        <w:pStyle w:val="Heading2"/>
      </w:pPr>
      <w:r>
        <w:t>Regeste</w:t>
      </w:r>
    </w:p>
    <w:p>
      <w:r>
        <w:t>Art. 15d Abs. 1 SVG (SR 741.01). Der betagte Rekurrent war in einen Verkehrsunfall mit einer Fussgängerin verwickelt. Mit der Strafbehörde ist davon auszugehen, dass er im Unfallzeitpunkt trotz Einnahme verschiedener ärztlich verschriebener Medikamente fahrfähig war und ihn am Unfall kein Verschulden traf. Der einzige im Blut nachweisbare Arzneimittelwirkstoff war nur in subtherapeutischer Konzentration vorhanden. Die Voraussetzungen für eine verkehrsmedizinische Untersuchung sind nicht erfüllt (Verwaltungsrekurskommission, Abteilung IV, 27. Juni 2019, IV-2019/3).</w:t>
      </w:r>
    </w:p>
    <w:p>
      <w:pPr>
        <w:pStyle w:val="Heading2"/>
      </w:pPr>
      <w:r>
        <w:t>Volltext</w:t>
      </w:r>
    </w:p>
    <w:p>
      <w:r>
        <w:t>St.Gallen Verwaltungsrekurskommission 27.06.2019 IV-2019/3 Saint-Gall Verwaltungsrekurskommission 27.06.2019 IV-2019/3 San Gallo Verwaltungsrekurskommission 27.06.2019 IV-2019/3</w:t>
      </w:r>
    </w:p>
    <w:p>
      <w:r>
        <w:t>Art. 15d Abs. 1 SVG (SR 741.01). Der betagte Rekurrent war in einen Verkehrsunfall mit einer Fussgängerin verwickelt. Mit der Strafbehörde ist davon auszugehen, dass er im Unfallzeitpunkt trotz Einnahme verschiedener ärztlich verschriebener Medikamente fahrfähig war und ihn am Unfall kein Verschulden traf. Der einzige im Blut nachweisbare Arzneimittelwirkstoff war nur in subtherapeutischer Konzentration vorhanden. Die Voraussetzungen für eine verkehrsmedizinische Untersuchung sind nicht erfüllt (Verwaltungsrekurskommission, Abteilung IV, 27. Juni 2019, IV-2019/3).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