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IV-2019/157 vom 30. April 2020</w:t>
      </w:r>
    </w:p>
    <w:p>
      <w:r>
        <w:t>SG Gerichte, 2020-04-30, DE</w:t>
      </w:r>
    </w:p>
    <w:p>
      <w:r>
        <w:rPr>
          <w:b/>
        </w:rPr>
        <w:t xml:space="preserve">Quelle: </w:t>
      </w:r>
      <w:r>
        <w:t>https://mcp.opencaselaw.ch/entscheid/sg_gerichte_IV-2019_157</w:t>
      </w:r>
    </w:p>
    <w:p>
      <w:r>
        <w:t>FR: SG_GERICHTE IV-2019/157 du 30 avril 2020</w:t>
      </w:r>
    </w:p>
    <w:p>
      <w:r>
        <w:t>IT: SG_GERICHTE IV-2019/157 del 30 aprile 2020</w:t>
      </w:r>
    </w:p>
    <w:p>
      <w:pPr>
        <w:pStyle w:val="Heading2"/>
      </w:pPr>
      <w:r>
        <w:t>Regeste</w:t>
      </w:r>
    </w:p>
    <w:p>
      <w:r>
        <w:t>Art. 14 Abs. 1 und 2 SVG (SR 741.01). Die Rekurrentin lenkte ein Motorfahrzeug mit einer Atemalkoholkonzentration von 0,87 mg/l (was einer Blutalkoholkonzentration von 1,74 Gewichtspromille entspricht). Sie zeigte keine Ausfallerscheinungen. Im verkehrsmedizinischen Gutachten wurden eine Alkoholabhängigkeit und ein Alkoholmissbrauch verneint und eine verkehrsrelevante Alkoholgefährdung bejaht. Die Voraussetzungen für eine Alkoholtotalabstinenzauflage werden verneint und stattdessen eine Alkoholfahrabstinenz angeordnet (Verwaltungsrekurskommission, Abteilung IV, 30. April 2020, IV-2019/157).</w:t>
      </w:r>
    </w:p>
    <w:p>
      <w:pPr>
        <w:pStyle w:val="Heading2"/>
      </w:pPr>
      <w:r>
        <w:t>Volltext</w:t>
      </w:r>
    </w:p>
    <w:p>
      <w:r>
        <w:t>St.Gallen Verwaltungsrekurskommission 30.04.2020 IV-2019/157 Saint-Gall Verwaltungsrekurskommission 30.04.2020 IV-2019/157 San Gallo Verwaltungsrekurskommission 30.04.2020 IV-2019/157</w:t>
      </w:r>
    </w:p>
    <w:p>
      <w:r>
        <w:t>Art. 14 Abs. 1 und 2 SVG (SR 741.01). Die Rekurrentin lenkte ein Motorfahrzeug mit einer Atemalkoholkonzentration von 0,87 mg/l (was einer Blutalkoholkonzentration von 1,74 Gewichtspromille entspricht). Sie zeigte keine Ausfallerscheinungen. Im verkehrsmedizinischen Gutachten wurden eine Alkoholabhängigkeit und ein Alkoholmissbrauch verneint und eine verkehrsrelevante Alkoholgefährdung bejaht. Die Voraussetzungen für eine Alkoholtotalabstinenzauflage werden verneint und stattdessen eine Alkoholfahrabstinenz angeordnet (Verwaltungsrekurskommission, Abteilung IV, 30. April 2020, IV-2019/157).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