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IV-2019/136 vom 9. Januar 2020</w:t>
      </w:r>
    </w:p>
    <w:p>
      <w:r>
        <w:t>SG Gerichte, 2020-01-09, DE</w:t>
      </w:r>
    </w:p>
    <w:p>
      <w:r>
        <w:rPr>
          <w:b/>
        </w:rPr>
        <w:t xml:space="preserve">Quelle: </w:t>
      </w:r>
      <w:r>
        <w:t>https://mcp.opencaselaw.ch/entscheid/sg_gerichte_IV-2019_136</w:t>
      </w:r>
    </w:p>
    <w:p>
      <w:r>
        <w:t>FR: SG_GERICHTE IV-2019/136 du 9 janvier 2020</w:t>
      </w:r>
    </w:p>
    <w:p>
      <w:r>
        <w:t>IT: SG_GERICHTE IV-2019/136 del 9 gennaio 2020</w:t>
      </w:r>
    </w:p>
    <w:p>
      <w:pPr>
        <w:pStyle w:val="Heading2"/>
      </w:pPr>
      <w:r>
        <w:t>Regeste</w:t>
      </w:r>
    </w:p>
    <w:p>
      <w:r>
        <w:t>Art. 16c Abs. 1 lit. a, Art. 16 Abs. 3 SVG (SR 741.01). Auch in einer 30-er-Zone ist grundsätzlich erst ab einer Geschwindigkeitsüberschreitung von 25 km/h von einer schweren Widerhandlung auszugehen (Verwaltungsrekurskommission, Abteilung IV, 9. Januar 2020, IV-2019/136).</w:t>
      </w:r>
    </w:p>
    <w:p>
      <w:pPr>
        <w:pStyle w:val="Heading2"/>
      </w:pPr>
      <w:r>
        <w:t>Volltext</w:t>
      </w:r>
    </w:p>
    <w:p>
      <w:r>
        <w:t>St.Gallen Verwaltungsrekurskommission 09.01.2020 IV-2019/136 Saint-Gall Verwaltungsrekurskommission 09.01.2020 IV-2019/136 San Gallo Verwaltungsrekurskommission 09.01.2020 IV-2019/136</w:t>
      </w:r>
    </w:p>
    <w:p>
      <w:r>
        <w:t>Art. 16c Abs. 1 lit. a, Art. 16 Abs. 3 SVG (SR 741.01). Auch in einer 30-er-Zone ist grundsätzlich erst ab einer Geschwindigkeitsüberschreitung von 25 km/h von einer schweren Widerhandlung auszugehen (Verwaltungsrekurskommission, Abteilung IV, 9. Januar 2020, IV-2019/136).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