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IV-2018/74 vom 27. September 2018</w:t>
      </w:r>
    </w:p>
    <w:p>
      <w:r>
        <w:t>SG Gerichte, 2018-09-27, DE</w:t>
      </w:r>
    </w:p>
    <w:p>
      <w:r>
        <w:rPr>
          <w:b/>
        </w:rPr>
        <w:t xml:space="preserve">Quelle: </w:t>
      </w:r>
      <w:r>
        <w:t>https://mcp.opencaselaw.ch/entscheid/sg_gerichte_IV-2018_74</w:t>
      </w:r>
    </w:p>
    <w:p>
      <w:r>
        <w:t>FR: SG_GERICHTE IV-2018/74 du 27 septembre 2018</w:t>
      </w:r>
    </w:p>
    <w:p>
      <w:r>
        <w:t>IT: SG_GERICHTE IV-2018/74 del 27 settembre 2018</w:t>
      </w:r>
    </w:p>
    <w:p>
      <w:pPr>
        <w:pStyle w:val="Heading2"/>
      </w:pPr>
      <w:r>
        <w:t>Regeste</w:t>
      </w:r>
    </w:p>
    <w:p>
      <w:r>
        <w:t>Art. 29 Abs. 2 BV (SR 101), Art. 14 Abs. 1 SVG (SR 741.01), Art. 11b Abs. 1 lit. b VZV (SR 741.51). Das Strassenverkehrsamt hat unter Berücksichtigung der vom Rechtsvertreter erhobenen Kritik zu prüfen, ob das verkehrsmedizinische Gutachten den formalen und inhaltlichen Anforderungen genügt und das Ergebnis widerspruchsfrei und nachvollziehbar ist. Diese Fragen zu beantworten, ist allein Aufgabe des Bestellers des Gutachtens, und zwar im Rahmen der Beweiswürdigung. Die Gutachterin hat sich dazu nicht zu äussern. Auf der anderen Seite ist die Gutachterin gehalten, allfällige vom Rechtsvertreter formulierten, konkreten und sachlich begründeten Ergänzungsfragen zu beantworten. Daran ändert nichts, wenn am Gutachten von Seiten der betroffenen Person massive Kritik geübt wird. Ob diese berechtigt ist oder nicht, muss das Strassenverkehrsamt im Rahmen der Beweiswürdigung prüfen. Ein Zweitgutachten ist nicht allein auf entsprechende Empfehlung der ersten Gutachterin einzuholen, sondern nur dann, wenn etwa im Erstgutachten mehrere Widersprüche enthalten sind oder massgebende Relativierungen in den gutachterlichen Ausführungen an deren Schlüssigkeit zweifeln lassen (Verwaltungsrekurskommission, Abteilung IV, 27. September 2018, IV-2018/74).</w:t>
      </w:r>
    </w:p>
    <w:p>
      <w:pPr>
        <w:pStyle w:val="Heading2"/>
      </w:pPr>
      <w:r>
        <w:t>Volltext</w:t>
      </w:r>
    </w:p>
    <w:p>
      <w:r>
        <w:t>St.Gallen Verwaltungsrekurskommission 27.09.2018 IV-2018/74 Saint-Gall Verwaltungsrekurskommission 27.09.2018 IV-2018/74 San Gallo Verwaltungsrekurskommission 27.09.2018 IV-2018/74</w:t>
      </w:r>
    </w:p>
    <w:p>
      <w:r>
        <w:t>Art. 29 Abs. 2 BV (SR 101), Art. 14 Abs. 1 SVG (SR 741.01), Art. 11b Abs. 1 lit. b VZV (SR 741.51). Das Strassenverkehrsamt hat unter Berücksichtigung der vom Rechtsvertreter erhobenen Kritik zu prüfen, ob das verkehrsmedizinische Gutachten den formalen und inhaltlichen Anforderungen genügt und das Ergebnis widerspruchsfrei und nachvollziehbar ist. Diese Fragen zu beantworten, ist allein Aufgabe des Bestellers des Gutachtens, und zwar im Rahmen der Beweiswürdigung. Die Gutachterin hat sich dazu nicht zu äussern. Auf der anderen Seite ist die Gutachterin gehalten, allfällige vom Rechtsvertreter formulierten, konkreten und sachlich begründeten Ergänzungsfragen zu beantworten. Daran ändert nichts, wenn am Gutachten von Seiten der betroffenen Person massive Kritik geübt wird. Ob diese berechtigt ist oder nicht, muss das Strassenverkehrsamt im Rahmen der Beweiswürdigung prüfen. Ein Zweitgutachten ist nicht allein auf entsprechende Empfehlung der ersten Gutachterin einzuholen, sondern nur dann, wenn etwa im Erstgutachten mehrere Widersprüche enthalten sind oder massgebende Relativierungen in den gutachterlichen Ausführungen an deren Schlüssigkeit zweifeln lassen (Verwaltungsrekurskommission, Abteilung IV, 27. September 2018, IV-2018/74).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