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IV-2018/181 vom 27. Juni 2019</w:t>
      </w:r>
    </w:p>
    <w:p>
      <w:r>
        <w:t>SG Gerichte, 2019-06-27, DE</w:t>
      </w:r>
    </w:p>
    <w:p>
      <w:r>
        <w:rPr>
          <w:b/>
        </w:rPr>
        <w:t xml:space="preserve">Quelle: </w:t>
      </w:r>
      <w:r>
        <w:t>https://mcp.opencaselaw.ch/entscheid/sg_gerichte_IV-2018_181</w:t>
      </w:r>
    </w:p>
    <w:p>
      <w:r>
        <w:t>FR: SG_GERICHTE IV-2018/181 du 27 juin 2019</w:t>
      </w:r>
    </w:p>
    <w:p>
      <w:r>
        <w:t>IT: SG_GERICHTE IV-2018/181 del 27 giugno 2019</w:t>
      </w:r>
    </w:p>
    <w:p>
      <w:pPr>
        <w:pStyle w:val="Heading2"/>
      </w:pPr>
      <w:r>
        <w:t>Regeste</w:t>
      </w:r>
    </w:p>
    <w:p>
      <w:r>
        <w:t>Art. 17 Abs. 5 SVG (SR 741.01). Verletzung einer Drogenabstinenzauflage (nachgewiesener Kokainkonsum). Bestätigung des Sicherungsentzugs. Ausführungen zu Cut-Off-Werten von Kokain und Benzoylecgonin (aktives Abbauprodukt von Kokain, E. 2c; Verwaltungsrekurskommission, Abteilung IV, 27. Juni 2019, IV-2018/181).</w:t>
      </w:r>
    </w:p>
    <w:p>
      <w:pPr>
        <w:pStyle w:val="Heading2"/>
      </w:pPr>
      <w:r>
        <w:t>Volltext</w:t>
      </w:r>
    </w:p>
    <w:p>
      <w:r>
        <w:t>St.Gallen Verwaltungsrekurskommission 27.06.2019 IV-2018/181 Saint-Gall Verwaltungsrekurskommission 27.06.2019 IV-2018/181 San Gallo Verwaltungsrekurskommission 27.06.2019 IV-2018/181</w:t>
      </w:r>
    </w:p>
    <w:p>
      <w:r>
        <w:t>Art. 17 Abs. 5 SVG (SR 741.01). Verletzung einer Drogenabstinenzauflage (nachgewiesener Kokainkonsum). Bestätigung des Sicherungsentzugs. Ausführungen zu Cut-Off-Werten von Kokain und Benzoylecgonin (aktives Abbauprodukt von Kokain, E. 2c; Verwaltungsrekurskommission, Abteilung IV, 27. Juni 2019, IV-2018/181).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