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IV-2018/159 vom 28. Februar 2019</w:t>
      </w:r>
    </w:p>
    <w:p>
      <w:r>
        <w:t>SG Gerichte, 2019-02-28, DE</w:t>
      </w:r>
    </w:p>
    <w:p>
      <w:r>
        <w:rPr>
          <w:b/>
        </w:rPr>
        <w:t xml:space="preserve">Quelle: </w:t>
      </w:r>
      <w:r>
        <w:t>https://mcp.opencaselaw.ch/entscheid/sg_gerichte_IV-2018_159</w:t>
      </w:r>
    </w:p>
    <w:p>
      <w:r>
        <w:t>FR: SG_GERICHTE IV-2018/159 du 28 février 2019</w:t>
      </w:r>
    </w:p>
    <w:p>
      <w:r>
        <w:t>IT: SG_GERICHTE IV-2018/159 del 28 febbraio 2019</w:t>
      </w:r>
    </w:p>
    <w:p>
      <w:pPr>
        <w:pStyle w:val="Heading2"/>
      </w:pPr>
      <w:r>
        <w:t>Regeste</w:t>
      </w:r>
    </w:p>
    <w:p>
      <w:r>
        <w:t>Art. 14 Abs. 1 und 3, Art. 15d Abs. 5, Art. 31 Abs. 1, Art. 32 Abs. 1, Art. 34 Abs. 1, Art. 36 Abs. 2 SVG (SR 741.01), Art. 29 VZV (SR 741.51), Art. 4a Abs. 1 lit. a und b, Art. 14 Abs. 1 VRV (SR 741.11). Der Rekurrent beging während einer Kontrollfahrt eine Reihe von Fehlern (ungenügende Voraussicht, konkrete und/oder erhöhte abstrakte Gefährdung wegen unzweckmässiger Beobachtung, Nichteinhalten der zulässigen Höchstgeschwindigkeiten, unsichere Fahrzeugführung, ungenügendes Spurhalten), weshalb die Kontrollfahrt zu Recht als nicht bestanden beurteilt wurde (Verwaltungsrekurskommission, Abteilung IV, 28. Februar 2019, IV-2018/159).</w:t>
      </w:r>
    </w:p>
    <w:p>
      <w:pPr>
        <w:pStyle w:val="Heading2"/>
      </w:pPr>
      <w:r>
        <w:t>Volltext</w:t>
      </w:r>
    </w:p>
    <w:p>
      <w:r>
        <w:t>St.Gallen Verwaltungsrekurskommission 28.02.2019 IV-2018/159 Saint-Gall Verwaltungsrekurskommission 28.02.2019 IV-2018/159 San Gallo Verwaltungsrekurskommission 28.02.2019 IV-2018/159</w:t>
      </w:r>
    </w:p>
    <w:p>
      <w:r>
        <w:t>Art. 14 Abs. 1 und 3, Art. 15d Abs. 5, Art. 31 Abs. 1, Art. 32 Abs. 1, Art. 34 Abs. 1, Art. 36 Abs. 2 SVG (SR 741.01), Art. 29 VZV (SR 741.51), Art. 4a Abs. 1 lit. a und b, Art. 14 Abs. 1 VRV (SR 741.11). Der Rekurrent beging während einer Kontrollfahrt eine Reihe von Fehlern (ungenügende Voraussicht, konkrete und/oder erhöhte abstrakte Gefährdung wegen unzweckmässiger Beobachtung, Nichteinhalten der zulässigen Höchstgeschwindigkeiten, unsichere Fahrzeugführung, ungenügendes Spurhalten), weshalb die Kontrollfahrt zu Recht als nicht bestanden beurteilt wurde (Verwaltungsrekurskommission, Abteilung IV, 28. Februar 2019, IV-2018/159).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