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IV-2018/142 vom 29. November 2018</w:t>
      </w:r>
    </w:p>
    <w:p>
      <w:r>
        <w:t>SG Gerichte, 2018-11-29, DE</w:t>
      </w:r>
    </w:p>
    <w:p>
      <w:r>
        <w:rPr>
          <w:b/>
        </w:rPr>
        <w:t xml:space="preserve">Quelle: </w:t>
      </w:r>
      <w:r>
        <w:t>https://mcp.opencaselaw.ch/entscheid/sg_gerichte_IV-2018_142</w:t>
      </w:r>
    </w:p>
    <w:p>
      <w:r>
        <w:t>FR: SG_GERICHTE IV-2018/142 du 29 novembre 2018</w:t>
      </w:r>
    </w:p>
    <w:p>
      <w:r>
        <w:t>IT: SG_GERICHTE IV-2018/142 del 29 novembre 2018</w:t>
      </w:r>
    </w:p>
    <w:p>
      <w:pPr>
        <w:pStyle w:val="Heading2"/>
      </w:pPr>
      <w:r>
        <w:t>Regeste</w:t>
      </w:r>
    </w:p>
    <w:p>
      <w:r>
        <w:t>Art. 16 Abs. 1, Art. 17 Abs. 5 SVG (SR 741.01). Das Gesetz sieht nach einer Verletzung von Auflagen, die im Rahmen der Wiedererteilung des Führerausweises nach einem Sicherungsentzug verfügt wurden, zwingend den erneuten Sicherungsentzug vor, ohne dass zuvor noch einmal verkehrsmedizinische oder -psychologische Abklärungen hinsichtlich der Fahreignung notwendig wären (Verwaltungsrekurskommission, Abteilung IV, 29. November 2018, IV-2018/142).</w:t>
      </w:r>
    </w:p>
    <w:p>
      <w:pPr>
        <w:pStyle w:val="Heading2"/>
      </w:pPr>
      <w:r>
        <w:t>Volltext</w:t>
      </w:r>
    </w:p>
    <w:p>
      <w:r>
        <w:t>St.Gallen Verwaltungsrekurskommission 29.11.2018 IV-2018/142 Saint-Gall Verwaltungsrekurskommission 29.11.2018 IV-2018/142 San Gallo Verwaltungsrekurskommission 29.11.2018 IV-2018/142</w:t>
      </w:r>
    </w:p>
    <w:p>
      <w:r>
        <w:t>Art. 16 Abs. 1, Art. 17 Abs. 5 SVG (SR 741.01). Das Gesetz sieht nach einer Verletzung von Auflagen, die im Rahmen der Wiedererteilung des Führerausweises nach einem Sicherungsentzug verfügt wurden, zwingend den erneuten Sicherungsentzug vor, ohne dass zuvor noch einmal verkehrsmedizinische oder -psychologische Abklärungen hinsichtlich der Fahreignung notwendig wären (Verwaltungsrekurskommission, Abteilung IV, 29. November 2018, IV-2018/142).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