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IV-2018/115 vom 22. August 2019</w:t>
      </w:r>
    </w:p>
    <w:p>
      <w:r>
        <w:t>SG Gerichte, 2019-08-22, DE</w:t>
      </w:r>
    </w:p>
    <w:p>
      <w:r>
        <w:rPr>
          <w:b/>
        </w:rPr>
        <w:t xml:space="preserve">Quelle: </w:t>
      </w:r>
      <w:r>
        <w:t>https://mcp.opencaselaw.ch/entscheid/sg_gerichte_IV-2018_115</w:t>
      </w:r>
    </w:p>
    <w:p>
      <w:r>
        <w:t>FR: SG_GERICHTE IV-2018/115 du 22 août 2019</w:t>
      </w:r>
    </w:p>
    <w:p>
      <w:r>
        <w:t>IT: SG_GERICHTE IV-2018/115 del 22 agosto 2019</w:t>
      </w:r>
    </w:p>
    <w:p>
      <w:pPr>
        <w:pStyle w:val="Heading2"/>
      </w:pPr>
      <w:r>
        <w:t>Regeste</w:t>
      </w:r>
    </w:p>
    <w:p>
      <w:r>
        <w:t>Art. 27bis Abs. 1 lit. b SVAG (sGS 711.70), Ziff. 235 VGT (sGS 718.1), Art. 16 Abs. 4 lit. b SVG (SR 741.01), Art. 106 Abs. 2 lit. c und Abs. 3, Art. 107 Abs. 2 VZV (SR 741.51), Art. 8 ZGB (SR 210). Die Vorinstanz entzog dem Rekurrenten den Fahrzeugausweis und die Kontrollschilder, weil dieser trotz Zahlungserinnerung und Androhung des Entzugs des Fahrzeugausweises und der Kontrollschilder die Gebühr für eine Fahrzeugprüfung nicht bezahlte. Die Vorinstanz kann den Nachweis erbringen, dass die Mahnung zugestellt wurde, weshalb die Entzugsverfügung zu Recht erlassen wurde und der Rekurrent die Verfügungsgebühr zu bezahlen hat (Verwaltungsrekurskommission, Abteilung IV, 22. August 2019, IV-2018/115).</w:t>
      </w:r>
    </w:p>
    <w:p>
      <w:pPr>
        <w:pStyle w:val="Heading2"/>
      </w:pPr>
      <w:r>
        <w:t>Volltext</w:t>
      </w:r>
    </w:p>
    <w:p>
      <w:r>
        <w:t>St.Gallen Verwaltungsrekurskommission 22.08.2019 IV-2018/115 Saint-Gall Verwaltungsrekurskommission 22.08.2019 IV-2018/115 San Gallo Verwaltungsrekurskommission 22.08.2019 IV-2018/115</w:t>
      </w:r>
    </w:p>
    <w:p>
      <w:r>
        <w:t>Art. 27bis Abs. 1 lit. b SVAG (sGS 711.70), Ziff. 235 VGT (sGS 718.1), Art. 16 Abs. 4 lit. b SVG (SR 741.01), Art. 106 Abs. 2 lit. c und Abs. 3, Art. 107 Abs. 2 VZV (SR 741.51), Art. 8 ZGB (SR 210). Die Vorinstanz entzog dem Rekurrenten den Fahrzeugausweis und die Kontrollschilder, weil dieser trotz Zahlungserinnerung und Androhung des Entzugs des Fahrzeugausweises und der Kontrollschilder die Gebühr für eine Fahrzeugprüfung nicht bezahlte. Die Vorinstanz kann den Nachweis erbringen, dass die Mahnung zugestellt wurde, weshalb die Entzugsverfügung zu Recht erlassen wurde und der Rekurrent die Verfügungsgebühr zu bezahlen hat (Verwaltungsrekurskommission, Abteilung IV, 22. August 2019, IV-2018/115).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