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IV-2016/88 vom 27. Oktober 2016</w:t>
      </w:r>
    </w:p>
    <w:p>
      <w:r>
        <w:t>SG Gerichte, 2016-10-27, DE</w:t>
      </w:r>
    </w:p>
    <w:p>
      <w:r>
        <w:rPr>
          <w:b/>
        </w:rPr>
        <w:t xml:space="preserve">Quelle: </w:t>
      </w:r>
      <w:r>
        <w:t>https://mcp.opencaselaw.ch/entscheid/sg_gerichte_IV-2016_88</w:t>
      </w:r>
    </w:p>
    <w:p>
      <w:r>
        <w:t>FR: SG_GERICHTE IV-2016/88 du 27 octobre 2016</w:t>
      </w:r>
    </w:p>
    <w:p>
      <w:r>
        <w:t>IT: SG_GERICHTE IV-2016/88 del 27 ottobre 2016</w:t>
      </w:r>
    </w:p>
    <w:p>
      <w:pPr>
        <w:pStyle w:val="Heading2"/>
      </w:pPr>
      <w:r>
        <w:t>Regeste</w:t>
      </w:r>
    </w:p>
    <w:p>
      <w:r>
        <w:t>Art. 16d Abs. 1 lit. b SVG (SR 741.01). Ein Drogenschnelltest ergab ein positives Ergebnis für Kokain. Die Blutalkoholkonzentration lag bei mindestens 0,48 Gewichtspromille. Beides hatte strafrechtlich keine Folgen. Da der Rekurrent in der Vergangenheit indessen häufiger Kokain konsumierte, als er zugab, nach einer Alkoholentzugstherapie weiterhin regelmässig Alkohol trank und nicht klar ist, ob er eine frühere Cannabisabhängigkeit überwunden hat, sind die Voraussetzungen für einen Sicherungsentzug erfüllt (Verwaltungsrekurskommission, Abteilung IV, 27. Oktober 2016, IV-2016/88).</w:t>
      </w:r>
    </w:p>
    <w:p>
      <w:pPr>
        <w:pStyle w:val="Heading2"/>
      </w:pPr>
      <w:r>
        <w:t>Volltext</w:t>
      </w:r>
    </w:p>
    <w:p>
      <w:r>
        <w:t>St.Gallen Verwaltungsrekurskommission 27.10.2016 IV-2016/88 Saint-Gall Verwaltungsrekurskommission 27.10.2016 IV-2016/88 San Gallo Verwaltungsrekurskommission 27.10.2016 IV-2016/88</w:t>
      </w:r>
    </w:p>
    <w:p>
      <w:r>
        <w:t>Art. 16d Abs. 1 lit. b SVG (SR 741.01). Ein Drogenschnelltest ergab ein positives Ergebnis für Kokain. Die Blutalkoholkonzentration lag bei mindestens 0,48 Gewichtspromille. Beides hatte strafrechtlich keine Folgen. Da der Rekurrent in der Vergangenheit indessen häufiger Kokain konsumierte, als er zugab, nach einer Alkoholentzugstherapie weiterhin regelmässig Alkohol trank und nicht klar ist, ob er eine frühere Cannabisabhängigkeit überwunden hat, sind die Voraussetzungen für einen Sicherungsentzug erfüllt (Verwaltungsrekurskommission, Abteilung IV, 27. Oktober 2016, IV-2016/88).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