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IV-2016/23 vom 29. September 2016</w:t>
      </w:r>
    </w:p>
    <w:p>
      <w:r>
        <w:t>SG Gerichte, 2016-09-29, DE</w:t>
      </w:r>
    </w:p>
    <w:p>
      <w:r>
        <w:rPr>
          <w:b/>
        </w:rPr>
        <w:t xml:space="preserve">Quelle: </w:t>
      </w:r>
      <w:r>
        <w:t>https://mcp.opencaselaw.ch/entscheid/sg_gerichte_IV-2016_23</w:t>
      </w:r>
    </w:p>
    <w:p>
      <w:r>
        <w:t>FR: SG_GERICHTE IV-2016/23 du 29 septembre 2016</w:t>
      </w:r>
    </w:p>
    <w:p>
      <w:r>
        <w:t>IT: SG_GERICHTE IV-2016/23 del 29 settembre 2016</w:t>
      </w:r>
    </w:p>
    <w:p>
      <w:pPr>
        <w:pStyle w:val="Heading2"/>
      </w:pPr>
      <w:r>
        <w:t>Regeste</w:t>
      </w:r>
    </w:p>
    <w:p>
      <w:r>
        <w:t>Art. 16d Abs. 1 lit. b und c SVG (SR 741.01). Das verkehrsmedizinische und verkehrspsychologische Gutachten vermögen eine fehlende Fahreignung nicht zu begründen. Folglich sind der Sicherungsentzug aufzuheben und stattdessen ein Warnungsentzug zu verfügen. Da trotzdem gewisse Bedenken an der Fahreignung vorliegen, hat das Strassenverkehrsamt Auflagen anzuordnen. Hierbei ist dem Umstand, dass eine fehlende Fahreignung nicht nachgewiesen werden kann, Rechnung zu tragen (Verwaltungsrekurskommission, Abteilung IV, 29. September 2016, IV-2016/23).</w:t>
      </w:r>
    </w:p>
    <w:p>
      <w:pPr>
        <w:pStyle w:val="Heading2"/>
      </w:pPr>
      <w:r>
        <w:t>Volltext</w:t>
      </w:r>
    </w:p>
    <w:p>
      <w:r>
        <w:t>St.Gallen Verwaltungsrekurskommission 29.09.2016 IV-2016/23 Saint-Gall Verwaltungsrekurskommission 29.09.2016 IV-2016/23 San Gallo Verwaltungsrekurskommission 29.09.2016 IV-2016/23</w:t>
      </w:r>
    </w:p>
    <w:p>
      <w:r>
        <w:t>Art. 16d Abs. 1 lit. b und c SVG (SR 741.01). Das verkehrsmedizinische und verkehrspsychologische Gutachten vermögen eine fehlende Fahreignung nicht zu begründen. Folglich sind der Sicherungsentzug aufzuheben und stattdessen ein Warnungsentzug zu verfügen. Da trotzdem gewisse Bedenken an der Fahreignung vorliegen, hat das Strassenverkehrsamt Auflagen anzuordnen. Hierbei ist dem Umstand, dass eine fehlende Fahreignung nicht nachgewiesen werden kann, Rechnung zu tragen (Verwaltungsrekurskommission, Abteilung IV, 29. September 2016, IV-2016/23).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