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IV-2014/81 vom 8. Januar 2015</w:t>
      </w:r>
    </w:p>
    <w:p>
      <w:r>
        <w:t>SG Gerichte, 2015-01-08, DE</w:t>
      </w:r>
    </w:p>
    <w:p>
      <w:r>
        <w:rPr>
          <w:b/>
        </w:rPr>
        <w:t xml:space="preserve">Quelle: </w:t>
      </w:r>
      <w:r>
        <w:t>https://mcp.opencaselaw.ch/entscheid/sg_gerichte_IV-2014_81</w:t>
      </w:r>
    </w:p>
    <w:p>
      <w:r>
        <w:t>FR: SG_GERICHTE IV-2014/81 du 8 janvier 2015</w:t>
      </w:r>
    </w:p>
    <w:p>
      <w:r>
        <w:t>IT: SG_GERICHTE IV-2014/81 del 8 gennaio 2015</w:t>
      </w:r>
    </w:p>
    <w:p>
      <w:pPr>
        <w:pStyle w:val="Heading2"/>
      </w:pPr>
      <w:r>
        <w:t>Regeste</w:t>
      </w:r>
    </w:p>
    <w:p>
      <w:r>
        <w:t>Art. 16d Abs. 1 lit. a SVG (SR 741.01). Bei rezidivierenden depressiven Störungen und bipolaren (manisch-depressiv) Erkrankungen ist eine ausreichende Beobachtungszeit von in in der Regel mindestens einem Jahr nach weitgehender Symptomfreiheit erforderlich. Bestätigung des Sicherungsentzugs (Verwaltungsrekurskommission, Abteilung IV, 8. Januar 2015, IV-2014/81).</w:t>
      </w:r>
    </w:p>
    <w:p>
      <w:pPr>
        <w:pStyle w:val="Heading2"/>
      </w:pPr>
      <w:r>
        <w:t>Volltext</w:t>
      </w:r>
    </w:p>
    <w:p>
      <w:r>
        <w:t>St.Gallen Verwaltungsrekurskommission 08.01.2015 IV-2014/81 Saint-Gall Verwaltungsrekurskommission 08.01.2015 IV-2014/81 San Gallo Verwaltungsrekurskommission 08.01.2015 IV-2014/81</w:t>
      </w:r>
    </w:p>
    <w:p>
      <w:r>
        <w:t>Art. 16d Abs. 1 lit. a SVG (SR 741.01). Bei rezidivierenden depressiven Störungen und bipolaren (manisch-depressiv) Erkrankungen ist eine ausreichende Beobachtungszeit von in in der Regel mindestens einem Jahr nach weitgehender Symptomfreiheit erforderlich. Bestätigung des Sicherungsentzugs (Verwaltungsrekurskommission, Abteilung IV, 8. Januar 2015, IV-2014/81).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