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IV-2014/43 vom 28. August 2014</w:t>
      </w:r>
    </w:p>
    <w:p>
      <w:r>
        <w:t>SG Gerichte, 2014-08-28, DE</w:t>
      </w:r>
    </w:p>
    <w:p>
      <w:r>
        <w:rPr>
          <w:b/>
        </w:rPr>
        <w:t xml:space="preserve">Quelle: </w:t>
      </w:r>
      <w:r>
        <w:t>https://mcp.opencaselaw.ch/entscheid/sg_gerichte_IV-2014_43</w:t>
      </w:r>
    </w:p>
    <w:p>
      <w:r>
        <w:t>FR: SG_GERICHTE IV-2014/43 du 28 août 2014</w:t>
      </w:r>
    </w:p>
    <w:p>
      <w:r>
        <w:t>IT: SG_GERICHTE IV-2014/43 del 28 agosto 2014</w:t>
      </w:r>
    </w:p>
    <w:p>
      <w:pPr>
        <w:pStyle w:val="Heading2"/>
      </w:pPr>
      <w:r>
        <w:t>Regeste</w:t>
      </w:r>
    </w:p>
    <w:p>
      <w:r>
        <w:t>Art. 17 Abs.3 SVG (SR 741.01). Die im Zeitpunkt der Wiedererteilung des Führerausweises nachgewiesene Alkoholabstinenz von sechs Monaten ist zu kurz, um damit den sicheren Nachweis zu erbringen, den festgestellten verkehrsrelevanten Alkoholmissbrauch erfolgreich überwunden zu haben (Verwaltungsrekurskommission, Abteilung IV, 28. August 2014, IV-2014/43).</w:t>
      </w:r>
    </w:p>
    <w:p>
      <w:pPr>
        <w:pStyle w:val="Heading2"/>
      </w:pPr>
      <w:r>
        <w:t>Volltext</w:t>
      </w:r>
    </w:p>
    <w:p>
      <w:r>
        <w:t>St.Gallen Verwaltungsrekurskommission 28.08.2014 IV-2014/43 Saint-Gall Verwaltungsrekurskommission 28.08.2014 IV-2014/43 San Gallo Verwaltungsrekurskommission 28.08.2014 IV-2014/43</w:t>
      </w:r>
    </w:p>
    <w:p>
      <w:r>
        <w:t>Art. 17 Abs.3 SVG (SR 741.01). Die im Zeitpunkt der Wiedererteilung des Führerausweises nachgewiesene Alkoholabstinenz von sechs Monaten ist zu kurz, um damit den sicheren Nachweis zu erbringen, den festgestellten verkehrsrelevanten Alkoholmissbrauch erfolgreich überwunden zu haben (Verwaltungsrekurskommission, Abteilung IV, 28. August 2014, IV-2014/43).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