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IV-2014/4 vom 28. Mai 2014</w:t>
      </w:r>
    </w:p>
    <w:p>
      <w:r>
        <w:t>SG Gerichte, 2014-05-28, DE</w:t>
      </w:r>
    </w:p>
    <w:p>
      <w:r>
        <w:rPr>
          <w:b/>
        </w:rPr>
        <w:t xml:space="preserve">Quelle: </w:t>
      </w:r>
      <w:r>
        <w:t>https://mcp.opencaselaw.ch/entscheid/sg_gerichte_IV-2014_4</w:t>
      </w:r>
    </w:p>
    <w:p>
      <w:r>
        <w:t>FR: SG_GERICHTE IV-2014/4 du 28 mai 2014</w:t>
      </w:r>
    </w:p>
    <w:p>
      <w:r>
        <w:t>IT: SG_GERICHTE IV-2014/4 del 28 maggio 2014</w:t>
      </w:r>
    </w:p>
    <w:p>
      <w:pPr>
        <w:pStyle w:val="Heading2"/>
      </w:pPr>
      <w:r>
        <w:t>Regeste</w:t>
      </w:r>
    </w:p>
    <w:p>
      <w:r>
        <w:t>Art. 16d Abs. 1 lit. c SVG (SR 741.01). Bestätigung eines Sicherungsentzugs wegen charakterlicher Nichteignung. Das bisherige Verhalten des Fahrzeuglenkers mit einer Tendenz, sich nicht an gesetzliche Vorschriften zu halten, lässt ein erneutes Fahren unter Cannabiseinfluss nicht ohne Weiteres ausschliessen (Verwaltungsrekurskommission, Abteilung IV, 28. Mai 2014, IV-2014/4).</w:t>
      </w:r>
    </w:p>
    <w:p>
      <w:pPr>
        <w:pStyle w:val="Heading2"/>
      </w:pPr>
      <w:r>
        <w:t>Volltext</w:t>
      </w:r>
    </w:p>
    <w:p>
      <w:r>
        <w:t>St.Gallen Verwaltungsrekurskommission 28.05.2014 IV-2014/4 Saint-Gall Verwaltungsrekurskommission 28.05.2014 IV-2014/4 San Gallo Verwaltungsrekurskommission 28.05.2014 IV-2014/4</w:t>
      </w:r>
    </w:p>
    <w:p>
      <w:r>
        <w:t>Art. 16d Abs. 1 lit. c SVG (SR 741.01). Bestätigung eines Sicherungsentzugs wegen charakterlicher Nichteignung. Das bisherige Verhalten des Fahrzeuglenkers mit einer Tendenz, sich nicht an gesetzliche Vorschriften zu halten, lässt ein erneutes Fahren unter Cannabiseinfluss nicht ohne Weiteres ausschliessen (Verwaltungsrekurskommission, Abteilung IV, 28. Mai 2014, IV-2014/4).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