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IV-2012/69 vom 25. Oktober 2012</w:t>
      </w:r>
    </w:p>
    <w:p>
      <w:r>
        <w:t>SG Gerichte, 2012-10-25, DE</w:t>
      </w:r>
    </w:p>
    <w:p>
      <w:r>
        <w:rPr>
          <w:b/>
        </w:rPr>
        <w:t xml:space="preserve">Quelle: </w:t>
      </w:r>
      <w:r>
        <w:t>https://mcp.opencaselaw.ch/entscheid/sg_gerichte_IV-2012_69</w:t>
      </w:r>
    </w:p>
    <w:p>
      <w:r>
        <w:t>FR: SG_GERICHTE IV-2012/69 du 25 octobre 2012</w:t>
      </w:r>
    </w:p>
    <w:p>
      <w:r>
        <w:t>IT: SG_GERICHTE IV-2012/69 del 25 ottobre 2012</w:t>
      </w:r>
    </w:p>
    <w:p>
      <w:pPr>
        <w:pStyle w:val="Heading2"/>
      </w:pPr>
      <w:r>
        <w:t>Regeste</w:t>
      </w:r>
    </w:p>
    <w:p>
      <w:r>
        <w:t>Art. 16a Abs. 1 lit. b und Abs. 2, Art. 31 Abs. 2, Art. 55 Abs. 1 SVG (SR 741.01), Art. 1 der Verordnung der Bundesversammlung über Blutalkoholgrenzwerte im Strassenverkehr (SR 741.13). Der Fahrzeuglenker war innert Jahresfrist zweimal mit einer Blutalkoholkonzentration zwischen 0,5 und 0,79 Gewichtspromillen unterwegs. Für den ersten Vorfall wurde er verwarnt, der zweite hat einen Führerausweisentzug zur Folge (Verwaltungsrekurskommission, Abteilung IV, 25. Oktober 2012, IV-2012/69).</w:t>
      </w:r>
    </w:p>
    <w:p>
      <w:pPr>
        <w:pStyle w:val="Heading2"/>
      </w:pPr>
      <w:r>
        <w:t>Volltext</w:t>
      </w:r>
    </w:p>
    <w:p>
      <w:r>
        <w:t>St.Gallen Verwaltungsrekurskommission 25.10.2012 IV-2012/69 Saint-Gall Verwaltungsrekurskommission 25.10.2012 IV-2012/69 San Gallo Verwaltungsrekurskommission 25.10.2012 IV-2012/69</w:t>
      </w:r>
    </w:p>
    <w:p>
      <w:r>
        <w:t>Art. 16a Abs. 1 lit. b und Abs. 2, Art. 31 Abs. 2, Art. 55 Abs. 1 SVG (SR 741.01), Art. 1 der Verordnung der Bundesversammlung über Blutalkoholgrenzwerte im Strassenverkehr (SR 741.13). Der Fahrzeuglenker war innert Jahresfrist zweimal mit einer Blutalkoholkonzentration zwischen 0,5 und 0,79 Gewichtspromillen unterwegs. Für den ersten Vorfall wurde er verwarnt, der zweite hat einen Führerausweisentzug zur Folge (Verwaltungsrekurskommission, Abteilung IV, 25. Oktober 2012, IV-2012/69).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