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IV-2012/149 vom 21. März 2013</w:t>
      </w:r>
    </w:p>
    <w:p>
      <w:r>
        <w:t>SG Gerichte, 2013-03-21, DE</w:t>
      </w:r>
    </w:p>
    <w:p>
      <w:r>
        <w:rPr>
          <w:b/>
        </w:rPr>
        <w:t xml:space="preserve">Quelle: </w:t>
      </w:r>
      <w:r>
        <w:t>https://mcp.opencaselaw.ch/entscheid/sg_gerichte_IV-2012_149</w:t>
      </w:r>
    </w:p>
    <w:p>
      <w:r>
        <w:t>FR: SG_GERICHTE IV-2012/149 du 21 mars 2013</w:t>
      </w:r>
    </w:p>
    <w:p>
      <w:r>
        <w:t>IT: SG_GERICHTE IV-2012/149 del 21 marzo 2013</w:t>
      </w:r>
    </w:p>
    <w:p>
      <w:pPr>
        <w:pStyle w:val="Heading2"/>
      </w:pPr>
      <w:r>
        <w:t>Regeste</w:t>
      </w:r>
    </w:p>
    <w:p>
      <w:r>
        <w:t>Art. 16d Abs. 1 lit. a SVG (SR 741.01). Aufhebung des Sicherungsentzugs, nachdem der Fahrzeuglenker im Rekursverfahren rechtsgenüglich nachweisen konnte, dass die Frage nach den anfallsartigen Bewusstseinsstörungen ärztlich geklärt seien und er diesbezüglich therapiert sei (Verwaltungsrekurskommission, Abteilung IV, 21. März 2013, IV-2012/149).</w:t>
      </w:r>
    </w:p>
    <w:p>
      <w:pPr>
        <w:pStyle w:val="Heading2"/>
      </w:pPr>
      <w:r>
        <w:t>Volltext</w:t>
      </w:r>
    </w:p>
    <w:p>
      <w:r>
        <w:t>St.Gallen Verwaltungsrekurskommission 21.03.2013 IV-2012/149 Saint-Gall Verwaltungsrekurskommission 21.03.2013 IV-2012/149 San Gallo Verwaltungsrekurskommission 21.03.2013 IV-2012/149</w:t>
      </w:r>
    </w:p>
    <w:p>
      <w:r>
        <w:t>Art. 16d Abs. 1 lit. a SVG (SR 741.01). Aufhebung des Sicherungsentzugs, nachdem der Fahrzeuglenker im Rekursverfahren rechtsgenüglich nachweisen konnte, dass die Frage nach den anfallsartigen Bewusstseinsstörungen ärztlich geklärt seien und er diesbezüglich therapiert sei (Verwaltungsrekurskommission, Abteilung IV, 21. März 2013, IV-2012/149).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