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IV-2012/124 vom 28. Februar 2013</w:t>
      </w:r>
    </w:p>
    <w:p>
      <w:r>
        <w:t>SG Gerichte, 2013-02-28, DE</w:t>
      </w:r>
    </w:p>
    <w:p>
      <w:r>
        <w:rPr>
          <w:b/>
        </w:rPr>
        <w:t xml:space="preserve">Quelle: </w:t>
      </w:r>
      <w:r>
        <w:t>https://mcp.opencaselaw.ch/entscheid/sg_gerichte_IV-2012_124</w:t>
      </w:r>
    </w:p>
    <w:p>
      <w:r>
        <w:t>FR: SG_GERICHTE IV-2012/124 du 28 février 2013</w:t>
      </w:r>
    </w:p>
    <w:p>
      <w:r>
        <w:t>IT: SG_GERICHTE IV-2012/124 del 28 febbraio 2013</w:t>
      </w:r>
    </w:p>
    <w:p>
      <w:pPr>
        <w:pStyle w:val="Heading2"/>
      </w:pPr>
      <w:r>
        <w:t>Regeste</w:t>
      </w:r>
    </w:p>
    <w:p>
      <w:r>
        <w:t>Art. 14 Abs. 2 lit. d SVG (SR 741.01). Bei der Beurteilung der Fahreignung sind die Voraussetzungen der medizinischen und geistigen Leistungsfähigkeit einerseits sowie die charakterliche Eignung anderseits auseinanderzuhalten und unabhängig voneinander zu beurteilen. Im Unterschied zu den medizinischen und geistigen Leistungsvoraussetzungen gibt es bei der Frage der charakterlichen Eignung (im Sinne der Legalprognose) keine unterschiedlichen Voraussetzungen hinsichtlich der verschiedenen Führerausweiskategorien (Verwaltungsrekurskommission, Abteilung IV, 28. Februar 2013, IV-2012/124).</w:t>
      </w:r>
    </w:p>
    <w:p>
      <w:pPr>
        <w:pStyle w:val="Heading2"/>
      </w:pPr>
      <w:r>
        <w:t>Volltext</w:t>
      </w:r>
    </w:p>
    <w:p>
      <w:r>
        <w:t>St.Gallen Verwaltungsrekurskommission 28.02.2013 IV-2012/124 Saint-Gall Verwaltungsrekurskommission 28.02.2013 IV-2012/124 San Gallo Verwaltungsrekurskommission 28.02.2013 IV-2012/124</w:t>
      </w:r>
    </w:p>
    <w:p>
      <w:r>
        <w:t>Art. 14 Abs. 2 lit. d SVG (SR 741.01). Bei der Beurteilung der Fahreignung sind die Voraussetzungen der medizinischen und geistigen Leistungsfähigkeit einerseits sowie die charakterliche Eignung anderseits auseinanderzuhalten und unabhängig voneinander zu beurteilen. Im Unterschied zu den medizinischen und geistigen Leistungsvoraussetzungen gibt es bei der Frage der charakterlichen Eignung (im Sinne der Legalprognose) keine unterschiedlichen Voraussetzungen hinsichtlich der verschiedenen Führerausweiskategorien (Verwaltungsrekurskommission, Abteilung IV, 28. Februar 2013, IV-2012/124).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