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IV-2011/83 vom 6. Januar 2012</w:t>
      </w:r>
    </w:p>
    <w:p>
      <w:r>
        <w:t>SG Gerichte, 2012-01-06, DE</w:t>
      </w:r>
    </w:p>
    <w:p>
      <w:r>
        <w:rPr>
          <w:b/>
        </w:rPr>
        <w:t xml:space="preserve">Quelle: </w:t>
      </w:r>
      <w:r>
        <w:t>https://mcp.opencaselaw.ch/entscheid/sg_gerichte_IV-2011_83</w:t>
      </w:r>
    </w:p>
    <w:p>
      <w:r>
        <w:t>FR: SG_GERICHTE IV-2011/83 du 6 janvier 2012</w:t>
      </w:r>
    </w:p>
    <w:p>
      <w:r>
        <w:t>IT: SG_GERICHTE IV-2011/83 del 6 gennaio 2012</w:t>
      </w:r>
    </w:p>
    <w:p>
      <w:pPr>
        <w:pStyle w:val="Heading2"/>
      </w:pPr>
      <w:r>
        <w:t>Regeste</w:t>
      </w:r>
    </w:p>
    <w:p>
      <w:r>
        <w:t>Art. 14 Abs. 2 lit. c, Art. 14 Abs. 3, Art. 16d Abs. 1 lit. b SVG (SR 741.01). Das Strafverfahren wegen Führens eines Fahrrades in fahrunfähigem Zustand wurde mangels Beweisen eingestellt, was einem Freispruch gleichkommt. Die Voraussetzungen für die Anordnung einer verkehrsmedizinischen Untersuchung zur Abklärung der Fahreignung sind damit nicht erfüllt (Verwaltungsrekurskommission, Abteilung IV, 6. Januar 2012, IV-2011/83).</w:t>
      </w:r>
    </w:p>
    <w:p>
      <w:pPr>
        <w:pStyle w:val="Heading2"/>
      </w:pPr>
      <w:r>
        <w:t>Volltext</w:t>
      </w:r>
    </w:p>
    <w:p>
      <w:r>
        <w:t>St.Gallen Verwaltungsrekurskommission 06.01.2012 IV-2011/83 Saint-Gall Verwaltungsrekurskommission 06.01.2012 IV-2011/83 San Gallo Verwaltungsrekurskommission 06.01.2012 IV-2011/83</w:t>
      </w:r>
    </w:p>
    <w:p>
      <w:r>
        <w:t>Art. 14 Abs. 2 lit. c, Art. 14 Abs. 3, Art. 16d Abs. 1 lit. b SVG (SR 741.01). Das Strafverfahren wegen Führens eines Fahrrades in fahrunfähigem Zustand wurde mangels Beweisen eingestellt, was einem Freispruch gleichkommt. Die Voraussetzungen für die Anordnung einer verkehrsmedizinischen Untersuchung zur Abklärung der Fahreignung sind damit nicht erfüllt (Verwaltungsrekurskommission, Abteilung IV, 6. Januar 2012, IV-2011/83).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