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IV-2011/75 vom 24. November 2011</w:t>
      </w:r>
    </w:p>
    <w:p>
      <w:r>
        <w:t>SG Gerichte, 2011-11-24, DE</w:t>
      </w:r>
    </w:p>
    <w:p>
      <w:r>
        <w:rPr>
          <w:b/>
        </w:rPr>
        <w:t xml:space="preserve">Quelle: </w:t>
      </w:r>
      <w:r>
        <w:t>https://mcp.opencaselaw.ch/entscheid/sg_gerichte_IV-2011_75</w:t>
      </w:r>
    </w:p>
    <w:p>
      <w:r>
        <w:t>FR: SG_GERICHTE IV-2011/75 du 24 novembre 2011</w:t>
      </w:r>
    </w:p>
    <w:p>
      <w:r>
        <w:t>IT: SG_GERICHTE IV-2011/75 del 24 novembre 2011</w:t>
      </w:r>
    </w:p>
    <w:p>
      <w:pPr>
        <w:pStyle w:val="Heading2"/>
      </w:pPr>
      <w:r>
        <w:t>Regeste</w:t>
      </w:r>
    </w:p>
    <w:p>
      <w:r>
        <w:t>Art. 15a Abs. 5 SVG (SR 741.01). Wird der Führerausweis auf Probe annulliert und führt die betroffene Person während der Wartefrist ein Motorrad oder einen Motorwagen, so wird die Wartefrist um ein Jahr verlängert. Werden während der fraglichen Fahrt Verkehrsregelverletzungen begangen, führt dies mangels gesetzlicher Grundlage nicht zu einer längeren Wartefrist (Verwaltungsrekurskommission, Abteilung IV, 24. November 2011, IV-2011/75).</w:t>
      </w:r>
    </w:p>
    <w:p>
      <w:pPr>
        <w:pStyle w:val="Heading2"/>
      </w:pPr>
      <w:r>
        <w:t>Volltext</w:t>
      </w:r>
    </w:p>
    <w:p>
      <w:r>
        <w:t>St.Gallen Verwaltungsrekurskommission 24.11.2011 IV-2011/75 Saint-Gall Verwaltungsrekurskommission 24.11.2011 IV-2011/75 San Gallo Verwaltungsrekurskommission 24.11.2011 IV-2011/75</w:t>
      </w:r>
    </w:p>
    <w:p>
      <w:r>
        <w:t>Art. 15a Abs. 5 SVG (SR 741.01). Wird der Führerausweis auf Probe annulliert und führt die betroffene Person während der Wartefrist ein Motorrad oder einen Motorwagen, so wird die Wartefrist um ein Jahr verlängert. Werden während der fraglichen Fahrt Verkehrsregelverletzungen begangen, führt dies mangels gesetzlicher Grundlage nicht zu einer längeren Wartefrist (Verwaltungsrekurskommission, Abteilung IV, 24. November 2011, IV-2011/75).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