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IV-2011/58 vom 24. November 2011</w:t>
      </w:r>
    </w:p>
    <w:p>
      <w:r>
        <w:t>SG Gerichte, 2011-11-24, DE</w:t>
      </w:r>
    </w:p>
    <w:p>
      <w:r>
        <w:rPr>
          <w:b/>
        </w:rPr>
        <w:t xml:space="preserve">Quelle: </w:t>
      </w:r>
      <w:r>
        <w:t>https://mcp.opencaselaw.ch/entscheid/sg_gerichte_IV-2011_58</w:t>
      </w:r>
    </w:p>
    <w:p>
      <w:r>
        <w:t>FR: SG_GERICHTE IV-2011/58 du 24 novembre 2011</w:t>
      </w:r>
    </w:p>
    <w:p>
      <w:r>
        <w:t>IT: SG_GERICHTE IV-2011/58 del 24 novembre 2011</w:t>
      </w:r>
    </w:p>
    <w:p>
      <w:pPr>
        <w:pStyle w:val="Heading2"/>
      </w:pPr>
      <w:r>
        <w:t>Regeste</w:t>
      </w:r>
    </w:p>
    <w:p>
      <w:r>
        <w:t>Art. 16b Abs. 1 lit. a, Art. 34 Abs. 3, Art. 44 Abs. 1, Art. 90 Ziff. 1 SVG (SR 741.01). Eine strafrechtliche Verurteilung wegen einfacher Verkehrsregelverletzung schliesst die Annahme einer mittelschweren Widerhandlung im Administrativverfahren nicht aus (Verwaltungsrekurskommission, Abteilung IV, 24. November 2011, IV-2011/58).</w:t>
      </w:r>
    </w:p>
    <w:p>
      <w:pPr>
        <w:pStyle w:val="Heading2"/>
      </w:pPr>
      <w:r>
        <w:t>Volltext</w:t>
      </w:r>
    </w:p>
    <w:p>
      <w:r>
        <w:t>St.Gallen Verwaltungsrekurskommission 24.11.2011 IV-2011/58 Saint-Gall Verwaltungsrekurskommission 24.11.2011 IV-2011/58 San Gallo Verwaltungsrekurskommission 24.11.2011 IV-2011/58</w:t>
      </w:r>
    </w:p>
    <w:p>
      <w:r>
        <w:t>Art. 16b Abs. 1 lit. a, Art. 34 Abs. 3, Art. 44 Abs. 1, Art. 90 Ziff. 1 SVG (SR 741.01). Eine strafrechtliche Verurteilung wegen einfacher Verkehrsregelverletzung schliesst die Annahme einer mittelschweren Widerhandlung im Administrativverfahren nicht aus (Verwaltungsrekurskommission, Abteilung IV, 24. November 2011, IV-2011/58).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