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IV-2011/17 vom 26. Mai 2011</w:t>
      </w:r>
    </w:p>
    <w:p>
      <w:r>
        <w:t>SG Gerichte, 2011-05-26, DE</w:t>
      </w:r>
    </w:p>
    <w:p>
      <w:r>
        <w:rPr>
          <w:b/>
        </w:rPr>
        <w:t xml:space="preserve">Quelle: </w:t>
      </w:r>
      <w:r>
        <w:t>https://mcp.opencaselaw.ch/entscheid/sg_gerichte_IV-2011_17</w:t>
      </w:r>
    </w:p>
    <w:p>
      <w:r>
        <w:t>FR: SG_GERICHTE IV-2011/17 du 26 mai 2011</w:t>
      </w:r>
    </w:p>
    <w:p>
      <w:r>
        <w:t>IT: SG_GERICHTE IV-2011/17 del 26 maggio 2011</w:t>
      </w:r>
    </w:p>
    <w:p>
      <w:pPr>
        <w:pStyle w:val="Heading2"/>
      </w:pPr>
      <w:r>
        <w:t>Regeste</w:t>
      </w:r>
    </w:p>
    <w:p>
      <w:r>
        <w:t>Art. 14 Abs. 2 lit. b SVG (SR 741.01). Ein alkoholisierter Motorradfahrer (1,17 Gew.-Promille) erlitt bei einem Selbstunfall unter anderem einen Schädelbruch mit Schädelhirntrauma. Mangels Hinweisen für eine verkehrsrelevante Alkoholmissbrauchsgefahr besteht kein objektiv erkennbarer Anlass, den Alkoholkonsum aus strassenverkehrsrechtlichen Gründen zu überwachen. Aufhebung der Auflage einer Alkoholfahrabstinenz und der regelmässigen hausärztlichen Kontrolle verschiedener Blutwerte (Verwaltungsrekurskommission, Abteilung IV, 26. Mai 2011, IV-2011/17).</w:t>
      </w:r>
    </w:p>
    <w:p>
      <w:pPr>
        <w:pStyle w:val="Heading2"/>
      </w:pPr>
      <w:r>
        <w:t>Volltext</w:t>
      </w:r>
    </w:p>
    <w:p>
      <w:r>
        <w:t>St.Gallen Verwaltungsrekurskommission 26.05.2011 IV-2011/17 Saint-Gall Verwaltungsrekurskommission 26.05.2011 IV-2011/17 San Gallo Verwaltungsrekurskommission 26.05.2011 IV-2011/17</w:t>
      </w:r>
    </w:p>
    <w:p>
      <w:r>
        <w:t>Art. 14 Abs. 2 lit. b SVG (SR 741.01). Ein alkoholisierter Motorradfahrer (1,17 Gew.-Promille) erlitt bei einem Selbstunfall unter anderem einen Schädelbruch mit Schädelhirntrauma. Mangels Hinweisen für eine verkehrsrelevante Alkoholmissbrauchsgefahr besteht kein objektiv erkennbarer Anlass, den Alkoholkonsum aus strassenverkehrsrechtlichen Gründen zu überwachen. Aufhebung der Auflage einer Alkoholfahrabstinenz und der regelmässigen hausärztlichen Kontrolle verschiedener Blutwerte (Verwaltungsrekurskommission, Abteilung IV, 26. Mai 2011, IV-2011/17).</w:t>
      </w:r>
    </w:p>
    <w:p>
      <w:r>
        <w:t>St.Gallen Verwaltungsrekurskommission Saint-Gall Verwaltungsrekurskommission San Gallo Verwaltungsrekurskommission Verkehr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