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IV-2011/168 vom 29. März 2012</w:t>
      </w:r>
    </w:p>
    <w:p>
      <w:r>
        <w:t>SG Gerichte, 2012-03-29, DE</w:t>
      </w:r>
    </w:p>
    <w:p>
      <w:r>
        <w:rPr>
          <w:b/>
        </w:rPr>
        <w:t xml:space="preserve">Quelle: </w:t>
      </w:r>
      <w:r>
        <w:t>https://mcp.opencaselaw.ch/entscheid/sg_gerichte_IV-2011_168</w:t>
      </w:r>
    </w:p>
    <w:p>
      <w:r>
        <w:t>FR: SG_GERICHTE IV-2011/168 du 29 mars 2012</w:t>
      </w:r>
    </w:p>
    <w:p>
      <w:r>
        <w:t>IT: SG_GERICHTE IV-2011/168 del 29 marzo 2012</w:t>
      </w:r>
    </w:p>
    <w:p>
      <w:pPr>
        <w:pStyle w:val="Heading2"/>
      </w:pPr>
      <w:r>
        <w:t>Regeste</w:t>
      </w:r>
    </w:p>
    <w:p>
      <w:r>
        <w:t>Art. 14 Abs. 2 lit. c und Abs. 4, Art. 16 Abs. 1, Art. 16d Abs. 1 lit. b SVG (SR 741.01), Art. 11b Abs. 1 lit. b und Abs. 4, Art. 29 VZV (SR 741.51), Art. 12 Abs. 1 VRP (sGS 951.1). Der Rekurrent lenkte einen Personenwagen unter Cannabiseinfluss. Er verzichtete unterschriftlich auf eine umfassende Untersuchung. Aufgrund des Gutachtensauftrags und des Verlaufs der verkehrsmedizinischen Untersuchung musste er damit rechnen, dass der Gutachter zur Begründung seiner Schlussfolgerungen die persönlichen Angaben schriftlich festhalten und im Rahmen des Gutachtens an die Entzugsbehörde weiterleiten würde (Verwaltungsrekurskommission, Abteilung IV, 29. März 2012, IV-2011/168).</w:t>
      </w:r>
    </w:p>
    <w:p>
      <w:pPr>
        <w:pStyle w:val="Heading2"/>
      </w:pPr>
      <w:r>
        <w:t>Volltext</w:t>
      </w:r>
    </w:p>
    <w:p>
      <w:r>
        <w:t>St.Gallen Verwaltungsrekurskommission 29.03.2012 IV-2011/168 Saint-Gall Verwaltungsrekurskommission 29.03.2012 IV-2011/168 San Gallo Verwaltungsrekurskommission 29.03.2012 IV-2011/168</w:t>
      </w:r>
    </w:p>
    <w:p>
      <w:r>
        <w:t>Art. 14 Abs. 2 lit. c und Abs. 4, Art. 16 Abs. 1, Art. 16d Abs. 1 lit. b SVG (SR 741.01), Art. 11b Abs. 1 lit. b und Abs. 4, Art. 29 VZV (SR 741.51), Art. 12 Abs. 1 VRP (sGS 951.1). Der Rekurrent lenkte einen Personenwagen unter Cannabiseinfluss. Er verzichtete unterschriftlich auf eine umfassende Untersuchung. Aufgrund des Gutachtensauftrags und des Verlaufs der verkehrsmedizinischen Untersuchung musste er damit rechnen, dass der Gutachter zur Begründung seiner Schlussfolgerungen die persönlichen Angaben schriftlich festhalten und im Rahmen des Gutachtens an die Entzugsbehörde weiterleiten würde (Verwaltungsrekurskommission, Abteilung IV, 29. März 2012, IV-2011/168).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