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IV-2011/153 vom 23. Februar 2012</w:t>
      </w:r>
    </w:p>
    <w:p>
      <w:r>
        <w:t>SG Gerichte, 2012-02-23, DE</w:t>
      </w:r>
    </w:p>
    <w:p>
      <w:r>
        <w:rPr>
          <w:b/>
        </w:rPr>
        <w:t xml:space="preserve">Quelle: </w:t>
      </w:r>
      <w:r>
        <w:t>https://mcp.opencaselaw.ch/entscheid/sg_gerichte_IV-2011_153</w:t>
      </w:r>
    </w:p>
    <w:p>
      <w:r>
        <w:t>FR: SG_GERICHTE IV-2011/153 du 23 février 2012</w:t>
      </w:r>
    </w:p>
    <w:p>
      <w:r>
        <w:t>IT: SG_GERICHTE IV-2011/153 del 23 febbraio 2012</w:t>
      </w:r>
    </w:p>
    <w:p>
      <w:pPr>
        <w:pStyle w:val="Heading2"/>
      </w:pPr>
      <w:r>
        <w:t>Regeste</w:t>
      </w:r>
    </w:p>
    <w:p>
      <w:r>
        <w:t>Art. 30 Abs. 1, Art. 47 Abs. 1 VRP (sGS 951.1); Art. 138 Abs. 3 lit. a, Art. 142 Abs. 1 ZPO (SR 272). Nichteintreten auf den Rekurs zufolge Vereitelung der Zustellung der Verfügung. Der Rekurrent unterliess es, der Vorinstanz Änderungen hinsichtlich der von ihm bekannt gegebenen Zustelladresse mitzuteilen (Verwaltungsrekurskommission, Abteilung IV, 23. Februar 2012, IV-2011/153).</w:t>
      </w:r>
    </w:p>
    <w:p>
      <w:pPr>
        <w:pStyle w:val="Heading2"/>
      </w:pPr>
      <w:r>
        <w:t>Volltext</w:t>
      </w:r>
    </w:p>
    <w:p>
      <w:r>
        <w:t>St.Gallen Verwaltungsrekurskommission 23.02.2012 IV-2011/153 Saint-Gall Verwaltungsrekurskommission 23.02.2012 IV-2011/153 San Gallo Verwaltungsrekurskommission 23.02.2012 IV-2011/153</w:t>
      </w:r>
    </w:p>
    <w:p>
      <w:r>
        <w:t>Art. 30 Abs. 1, Art. 47 Abs. 1 VRP (sGS 951.1); Art. 138 Abs. 3 lit. a, Art. 142 Abs. 1 ZPO (SR 272). Nichteintreten auf den Rekurs zufolge Vereitelung der Zustellung der Verfügung. Der Rekurrent unterliess es, der Vorinstanz Änderungen hinsichtlich der von ihm bekannt gegebenen Zustelladresse mitzuteilen (Verwaltungsrekurskommission, Abteilung IV, 23. Februar 2012, IV-2011/153).</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