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IV-2011/125 vom 6. Januar 2012</w:t>
      </w:r>
    </w:p>
    <w:p>
      <w:r>
        <w:t>SG Gerichte, 2012-01-06, DE</w:t>
      </w:r>
    </w:p>
    <w:p>
      <w:r>
        <w:rPr>
          <w:b/>
        </w:rPr>
        <w:t xml:space="preserve">Quelle: </w:t>
      </w:r>
      <w:r>
        <w:t>https://mcp.opencaselaw.ch/entscheid/sg_gerichte_IV-2011_125</w:t>
      </w:r>
    </w:p>
    <w:p>
      <w:r>
        <w:t>FR: SG_GERICHTE IV-2011/125 du 6 janvier 2012</w:t>
      </w:r>
    </w:p>
    <w:p>
      <w:r>
        <w:t>IT: SG_GERICHTE IV-2011/125 del 6 gennaio 2012</w:t>
      </w:r>
    </w:p>
    <w:p>
      <w:pPr>
        <w:pStyle w:val="Heading2"/>
      </w:pPr>
      <w:r>
        <w:t>Regeste</w:t>
      </w:r>
    </w:p>
    <w:p>
      <w:r>
        <w:t>Art. 16c Abs. 1 lit. a, Art. 16 Abs. 3 SVG (SR 741.01). Eine Geschwindigkeitsüberschreitung innerorts um 27 km/h stellt eine schwere Widerhandlung dar und ist mit einem Führerausweisentzug von mindestens drei Monaten zu ahnden (Verwaltungsrekurskommission, Abteilung IV, 6. Januar 2012, IV-2011/125).</w:t>
      </w:r>
    </w:p>
    <w:p>
      <w:pPr>
        <w:pStyle w:val="Heading2"/>
      </w:pPr>
      <w:r>
        <w:t>Volltext</w:t>
      </w:r>
    </w:p>
    <w:p>
      <w:r>
        <w:t>St.Gallen Verwaltungsrekurskommission 06.01.2012 IV-2011/125 Saint-Gall Verwaltungsrekurskommission 06.01.2012 IV-2011/125 San Gallo Verwaltungsrekurskommission 06.01.2012 IV-2011/125</w:t>
      </w:r>
    </w:p>
    <w:p>
      <w:r>
        <w:t>Art. 16c Abs. 1 lit. a, Art. 16 Abs. 3 SVG (SR 741.01). Eine Geschwindigkeitsüberschreitung innerorts um 27 km/h stellt eine schwere Widerhandlung dar und ist mit einem Führerausweisentzug von mindestens drei Monaten zu ahnden (Verwaltungsrekurskommission, Abteilung IV, 6. Januar 2012, IV-2011/125).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