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IV-2010/97 vom 28. April 2011</w:t>
      </w:r>
    </w:p>
    <w:p>
      <w:r>
        <w:t>SG Gerichte, 2011-04-28, DE</w:t>
      </w:r>
    </w:p>
    <w:p>
      <w:r>
        <w:rPr>
          <w:b/>
        </w:rPr>
        <w:t xml:space="preserve">Quelle: </w:t>
      </w:r>
      <w:r>
        <w:t>https://mcp.opencaselaw.ch/entscheid/sg_gerichte_IV-2010_97</w:t>
      </w:r>
    </w:p>
    <w:p>
      <w:r>
        <w:t>FR: SG_GERICHTE IV-2010/97 du 28 avril 2011</w:t>
      </w:r>
    </w:p>
    <w:p>
      <w:r>
        <w:t>IT: SG_GERICHTE IV-2010/97 del 28 aprile 2011</w:t>
      </w:r>
    </w:p>
    <w:p>
      <w:pPr>
        <w:pStyle w:val="Heading2"/>
      </w:pPr>
      <w:r>
        <w:t>Regeste</w:t>
      </w:r>
    </w:p>
    <w:p>
      <w:r>
        <w:t>Art. 16c Abs. 1 lit. a, Art. 16 Abs. 3 SVG (SR 741.01). Zweimaliges Überschreiten der zulässigen Höchstgeschwindigkeit innerorts von 50 km/h um 40 und 36 km/h zur Nachtzeit bzw. frühmorgens. Schwere Widerhandlungen gegen die Strassenverkehrsvorschriften. Berücksichtigung der stark erhöhten Sanktionsempfindlichkeit (Taxifahrer und Chauffeur) bei der Bemessung der Dauer des Führerausweisentzugs (Verwaltungsrekurskommission, Abteilung IV, 28. April 2011, IV-2010/97).</w:t>
      </w:r>
    </w:p>
    <w:p>
      <w:pPr>
        <w:pStyle w:val="Heading2"/>
      </w:pPr>
      <w:r>
        <w:t>Volltext</w:t>
      </w:r>
    </w:p>
    <w:p>
      <w:r>
        <w:t>St.Gallen Verwaltungsrekurskommission 28.04.2011 IV-2010/97 Saint-Gall Verwaltungsrekurskommission 28.04.2011 IV-2010/97 San Gallo Verwaltungsrekurskommission 28.04.2011 IV-2010/97</w:t>
      </w:r>
    </w:p>
    <w:p>
      <w:r>
        <w:t>Art. 16c Abs. 1 lit. a, Art. 16 Abs. 3 SVG (SR 741.01). Zweimaliges Überschreiten der zulässigen Höchstgeschwindigkeit innerorts von 50 km/h um 40 und 36 km/h zur Nachtzeit bzw. frühmorgens. Schwere Widerhandlungen gegen die Strassenverkehrsvorschriften. Berücksichtigung der stark erhöhten Sanktionsempfindlichkeit (Taxifahrer und Chauffeur) bei der Bemessung der Dauer des Führerausweisentzugs (Verwaltungsrekurskommission, Abteilung IV, 28. April 2011, IV-2010/97).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