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IV-2010/89 vom 25. November 2010</w:t>
      </w:r>
    </w:p>
    <w:p>
      <w:r>
        <w:t>SG Gerichte, 2010-11-25, DE</w:t>
      </w:r>
    </w:p>
    <w:p>
      <w:r>
        <w:rPr>
          <w:b/>
        </w:rPr>
        <w:t xml:space="preserve">Quelle: </w:t>
      </w:r>
      <w:r>
        <w:t>https://mcp.opencaselaw.ch/entscheid/sg_gerichte_IV-2010_89</w:t>
      </w:r>
    </w:p>
    <w:p>
      <w:r>
        <w:t>FR: SG_GERICHTE IV-2010/89 du 25 novembre 2010</w:t>
      </w:r>
    </w:p>
    <w:p>
      <w:r>
        <w:t>IT: SG_GERICHTE IV-2010/89 del 25 novembre 2010</w:t>
      </w:r>
    </w:p>
    <w:p>
      <w:pPr>
        <w:pStyle w:val="Heading2"/>
      </w:pPr>
      <w:r>
        <w:t>Regeste</w:t>
      </w:r>
    </w:p>
    <w:p>
      <w:r>
        <w:t>Art. 16 Abs. 3, Art. 16b Abs. 2 lit. b, Art. 29, Art. 104b Abs. 6 lit. b SVG (SR 741.01); Art. 57 Abs. 1 und 2 VRV (SR 741.11); Art. 71 Abs. 4 VTS (SR 741.41); Art. 10 Abs. 1 ADMAS-Register-Verordnung (SR 741.55). Die Fahrzeuglenkerin fuhr mit vereisten Scheiben durch das Zentrum von St. Gallen, wobei lediglich die Windschutzscheibe (45 x 55 cm) und die linke Seitenscheibe (25 x 70 cm) enteist waren. Annahme einer mittelschweren Widerhandlung, welche nahe an der Grenze zu einer schweren Widerhandlung liegt (E. 2 und 3b/bb). Ein automobilistischer Leumund, der noch nicht seit mehr als 10 Jahren ungetrübt erscheint, ist grundsätzlich nicht massnahmemindernd zu berücksichtigen (E. 3b/cc). Annahme einer leicht erhöhten Sanktionsempfindlichkeit (E. 3b/dd; Verwaltungsrekurskommission, Abteilung IV, 25. November 2010, IV-2010/89).</w:t>
      </w:r>
    </w:p>
    <w:p>
      <w:pPr>
        <w:pStyle w:val="Heading2"/>
      </w:pPr>
      <w:r>
        <w:t>Volltext</w:t>
      </w:r>
    </w:p>
    <w:p>
      <w:r>
        <w:t>St.Gallen Verwaltungsrekurskommission 25.11.2010 IV-2010/89 Saint-Gall Verwaltungsrekurskommission 25.11.2010 IV-2010/89 San Gallo Verwaltungsrekurskommission 25.11.2010 IV-2010/89</w:t>
      </w:r>
    </w:p>
    <w:p>
      <w:r>
        <w:t>Art. 16 Abs. 3, Art. 16b Abs. 2 lit. b, Art. 29, Art. 104b Abs. 6 lit. b SVG (SR 741.01); Art. 57 Abs. 1 und 2 VRV (SR 741.11); Art. 71 Abs. 4 VTS (SR 741.41); Art. 10 Abs. 1 ADMAS-Register-Verordnung (SR 741.55). Die Fahrzeuglenkerin fuhr mit vereisten Scheiben durch das Zentrum von St. Gallen, wobei lediglich die Windschutzscheibe (45 x 55 cm) und die linke Seitenscheibe (25 x 70 cm) enteist waren. Annahme einer mittelschweren Widerhandlung, welche nahe an der Grenze zu einer schweren Widerhandlung liegt (E. 2 und 3b/bb). Ein automobilistischer Leumund, der noch nicht seit mehr als 10 Jahren ungetrübt erscheint, ist grundsätzlich nicht massnahmemindernd zu berücksichtigen (E. 3b/cc). Annahme einer leicht erhöhten Sanktionsempfindlichkeit (E. 3b/dd; Verwaltungsrekurskommission, Abteilung IV, 25. November 2010, IV-2010/89).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