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IV-2010/71 vom 24. Februar 2011</w:t>
      </w:r>
    </w:p>
    <w:p>
      <w:r>
        <w:t>SG Gerichte, 2011-02-24, DE</w:t>
      </w:r>
    </w:p>
    <w:p>
      <w:r>
        <w:rPr>
          <w:b/>
        </w:rPr>
        <w:t xml:space="preserve">Quelle: </w:t>
      </w:r>
      <w:r>
        <w:t>https://mcp.opencaselaw.ch/entscheid/sg_gerichte_IV-2010_71</w:t>
      </w:r>
    </w:p>
    <w:p>
      <w:r>
        <w:t>FR: SG_GERICHTE IV-2010/71 du 24 février 2011</w:t>
      </w:r>
    </w:p>
    <w:p>
      <w:r>
        <w:t>IT: SG_GERICHTE IV-2010/71 del 24 febbraio 2011</w:t>
      </w:r>
    </w:p>
    <w:p>
      <w:pPr>
        <w:pStyle w:val="Heading2"/>
      </w:pPr>
      <w:r>
        <w:t>Regeste</w:t>
      </w:r>
    </w:p>
    <w:p>
      <w:r>
        <w:t>Art. 5 Abs. 3 und Art. 9 BV (SR 101). Der Fahrzeugführer durfte aufgrund einer klaren behördlichen Auskunft von der Fahrberechtigung ausgehen, obwohl die Gültigkeit des Lernfahrausweises im Zeitpunkt der polizeilichen Anhaltung bereits abgelaufen war (Verwaltungsrekurskommission, Abteilung IV, 24. Februar 2011, IV-2010/71).</w:t>
      </w:r>
    </w:p>
    <w:p>
      <w:pPr>
        <w:pStyle w:val="Heading2"/>
      </w:pPr>
      <w:r>
        <w:t>Volltext</w:t>
      </w:r>
    </w:p>
    <w:p>
      <w:r>
        <w:t>St.Gallen Verwaltungsrekurskommission 24.02.2011 IV-2010/71 Saint-Gall Verwaltungsrekurskommission 24.02.2011 IV-2010/71 San Gallo Verwaltungsrekurskommission 24.02.2011 IV-2010/71</w:t>
      </w:r>
    </w:p>
    <w:p>
      <w:r>
        <w:t>Art. 5 Abs. 3 und Art. 9 BV (SR 101). Der Fahrzeugführer durfte aufgrund einer klaren behördlichen Auskunft von der Fahrberechtigung ausgehen, obwohl die Gültigkeit des Lernfahrausweises im Zeitpunkt der polizeilichen Anhaltung bereits abgelaufen war (Verwaltungsrekurskommission, Abteilung IV, 24. Februar 2011, IV-2010/71).</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