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IV-2010/40 vom 24. Februar 2011</w:t>
      </w:r>
    </w:p>
    <w:p>
      <w:r>
        <w:t>SG Gerichte, 2011-02-24, DE</w:t>
      </w:r>
    </w:p>
    <w:p>
      <w:r>
        <w:rPr>
          <w:b/>
        </w:rPr>
        <w:t xml:space="preserve">Quelle: </w:t>
      </w:r>
      <w:r>
        <w:t>https://mcp.opencaselaw.ch/entscheid/sg_gerichte_IV-2010_40</w:t>
      </w:r>
    </w:p>
    <w:p>
      <w:r>
        <w:t>FR: SG_GERICHTE IV-2010/40 du 24 février 2011</w:t>
      </w:r>
    </w:p>
    <w:p>
      <w:r>
        <w:t>IT: SG_GERICHTE IV-2010/40 del 24 febbraio 2011</w:t>
      </w:r>
    </w:p>
    <w:p>
      <w:pPr>
        <w:pStyle w:val="Heading2"/>
      </w:pPr>
      <w:r>
        <w:t>Regeste</w:t>
      </w:r>
    </w:p>
    <w:p>
      <w:r>
        <w:t>Art. 4 Abs. 1 lit. a ARV 1 (SR 822.221). Soweit Fahrzeugführerinnen und -führer mit Fahrzeugen unterwegs sind, welche nur für eine Höchstgeschwindigkeit von 40 km/h zugelassen sind, fallen sie nicht unter die Chauffeurverordnung (Verwaltungsrekurskommission, Abteilung IV, 24. Februar 2011, IV-2010/40).</w:t>
      </w:r>
    </w:p>
    <w:p>
      <w:pPr>
        <w:pStyle w:val="Heading2"/>
      </w:pPr>
      <w:r>
        <w:t>Volltext</w:t>
      </w:r>
    </w:p>
    <w:p>
      <w:r>
        <w:t>St.Gallen Verwaltungsrekurskommission 24.02.2011 IV-2010/40 Saint-Gall Verwaltungsrekurskommission 24.02.2011 IV-2010/40 San Gallo Verwaltungsrekurskommission 24.02.2011 IV-2010/40</w:t>
      </w:r>
    </w:p>
    <w:p>
      <w:r>
        <w:t>Art. 4 Abs. 1 lit. a ARV 1 (SR 822.221). Soweit Fahrzeugführerinnen und -führer mit Fahrzeugen unterwegs sind, welche nur für eine Höchstgeschwindigkeit von 40 km/h zugelassen sind, fallen sie nicht unter die Chauffeurverordnung (Verwaltungsrekurskommission, Abteilung IV, 24. Februar 2011, IV-2010/40).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