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IV-2010/19 vom 27. Mai 2010</w:t>
      </w:r>
    </w:p>
    <w:p>
      <w:r>
        <w:t>SG Gerichte, 2010-05-27, DE</w:t>
      </w:r>
    </w:p>
    <w:p>
      <w:r>
        <w:rPr>
          <w:b/>
        </w:rPr>
        <w:t xml:space="preserve">Quelle: </w:t>
      </w:r>
      <w:r>
        <w:t>https://mcp.opencaselaw.ch/entscheid/sg_gerichte_IV-2010_19</w:t>
      </w:r>
    </w:p>
    <w:p>
      <w:r>
        <w:t>FR: SG_GERICHTE IV-2010/19 du 27 mai 2010</w:t>
      </w:r>
    </w:p>
    <w:p>
      <w:r>
        <w:t>IT: SG_GERICHTE IV-2010/19 del 27 maggio 2010</w:t>
      </w:r>
    </w:p>
    <w:p>
      <w:pPr>
        <w:pStyle w:val="Heading2"/>
      </w:pPr>
      <w:r>
        <w:t>Regeste</w:t>
      </w:r>
    </w:p>
    <w:p>
      <w:r>
        <w:t>Art. 16c Abs. 1 lit. f, Art. 16c Abs. 2 lit. c, Art. 95 Ziff. 2 SVG (SR 741.01). Führen eines Motorfahrzeugs trotz Führerausweisentzugs. Der Rekurrent handelte eventualvorsätzlich, weshalb kein besonders leichter Fall vorliegt, welcher eine Unterschreitung der Mindestentzugsdauer zulassen würde (Verwaltungsrekurskommission, Abteilung IV, 27. Mai 2010, IV-2010/19).</w:t>
      </w:r>
    </w:p>
    <w:p>
      <w:pPr>
        <w:pStyle w:val="Heading2"/>
      </w:pPr>
      <w:r>
        <w:t>Volltext</w:t>
      </w:r>
    </w:p>
    <w:p>
      <w:r>
        <w:t>St.Gallen Verwaltungsrekurskommission 27.05.2010 IV-2010/19 Saint-Gall Verwaltungsrekurskommission 27.05.2010 IV-2010/19 San Gallo Verwaltungsrekurskommission 27.05.2010 IV-2010/19</w:t>
      </w:r>
    </w:p>
    <w:p>
      <w:r>
        <w:t>Art. 16c Abs. 1 lit. f, Art. 16c Abs. 2 lit. c, Art. 95 Ziff. 2 SVG (SR 741.01). Führen eines Motorfahrzeugs trotz Führerausweisentzugs. Der Rekurrent handelte eventualvorsätzlich, weshalb kein besonders leichter Fall vorliegt, welcher eine Unterschreitung der Mindestentzugsdauer zulassen würde (Verwaltungsrekurskommission, Abteilung IV, 27. Mai 2010, IV-2010/19).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