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IV-2005/57 vom 7. September 2005</w:t>
      </w:r>
    </w:p>
    <w:p>
      <w:r>
        <w:t>SG Gerichte, 2005-09-07, DE</w:t>
      </w:r>
    </w:p>
    <w:p>
      <w:r>
        <w:rPr>
          <w:b/>
        </w:rPr>
        <w:t xml:space="preserve">Quelle: </w:t>
      </w:r>
      <w:r>
        <w:t>https://mcp.opencaselaw.ch/entscheid/sg_gerichte_IV-2005_57</w:t>
      </w:r>
    </w:p>
    <w:p>
      <w:r>
        <w:t>FR: SG_GERICHTE IV-2005/57 du 7 septembre 2005</w:t>
      </w:r>
    </w:p>
    <w:p>
      <w:r>
        <w:t>IT: SG_GERICHTE IV-2005/57 del 7 settembre 2005</w:t>
      </w:r>
    </w:p>
    <w:p>
      <w:pPr>
        <w:pStyle w:val="Heading2"/>
      </w:pPr>
      <w:r>
        <w:t>Regeste</w:t>
      </w:r>
    </w:p>
    <w:p>
      <w:r>
        <w:t>Art. 16c Abs. 1 lit. a SVG und Art. 29 Abs. 2 BV: Ein Einschlafen am Steuer mit Selbstunfall stellt in der Regel - so auch im vorliegenden Fall - eine schwere Widerhandlung im Sinn von Art. 16c Abs. 1 lit. a SVG dar. Dabei kann die Mindestentzugsdauer von drei Monaten auch aus Gründen der Verhältnismässigkeit nicht unterschritten werden. Es liegt ausserdem keine Verletzung der Begründungspflicht seitens der Vorinstanz vor (Verwaltungsrekurskommission, IV-2005/57, 7. September 2005).</w:t>
      </w:r>
    </w:p>
    <w:p>
      <w:pPr>
        <w:pStyle w:val="Heading2"/>
      </w:pPr>
      <w:r>
        <w:t>Volltext</w:t>
      </w:r>
    </w:p>
    <w:p>
      <w:r>
        <w:t>St.Gallen Verwaltungsrekurskommission 07.09.2005 IV-2005/57 Saint-Gall Verwaltungsrekurskommission 07.09.2005 IV-2005/57 San Gallo Verwaltungsrekurskommission 07.09.2005 IV-2005/57</w:t>
      </w:r>
    </w:p>
    <w:p>
      <w:r>
        <w:t>Art. 16c Abs. 1 lit. a SVG und Art. 29 Abs. 2 BV: Ein Einschlafen am Steuer mit Selbstunfall stellt in der Regel - so auch im vorliegenden Fall - eine schwere Widerhandlung im Sinn von Art. 16c Abs. 1 lit. a SVG dar. Dabei kann die Mindestentzugsdauer von drei Monaten auch aus Gründen der Verhältnismässigkeit nicht unterschritten werden. Es liegt ausserdem keine Verletzung der Begründungspflicht seitens der Vorinstanz vor (Verwaltungsrekurskommission, IV-2005/57, 7. September 2005).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