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IV-2005/124 vom 1. März 2006</w:t>
      </w:r>
    </w:p>
    <w:p>
      <w:r>
        <w:t>SG Gerichte, 2006-03-01, DE</w:t>
      </w:r>
    </w:p>
    <w:p>
      <w:r>
        <w:rPr>
          <w:b/>
        </w:rPr>
        <w:t xml:space="preserve">Quelle: </w:t>
      </w:r>
      <w:r>
        <w:t>https://mcp.opencaselaw.ch/entscheid/sg_gerichte_IV-2005_124</w:t>
      </w:r>
    </w:p>
    <w:p>
      <w:r>
        <w:t>FR: SG_GERICHTE IV-2005/124 du 1 mars 2006</w:t>
      </w:r>
    </w:p>
    <w:p>
      <w:r>
        <w:t>IT: SG_GERICHTE IV-2005/124 del 1 marzo 2006</w:t>
      </w:r>
    </w:p>
    <w:p>
      <w:pPr>
        <w:pStyle w:val="Heading2"/>
      </w:pPr>
      <w:r>
        <w:t>Regeste</w:t>
      </w:r>
    </w:p>
    <w:p>
      <w:r>
        <w:t>Art. 16c Abs. 1 lit. a und Abs. 2 lit. a SVG. Das Missachten des Rotlichts mit Unfallfolge stellt in aller Regel eine schwere Widerhandlung dar, die zu einem Führerausweisentzug von mindestens drei Monaten führt. Die Vorinstanz hat bei strittigem Sachverhalt regelmässig die strafrechtliche Erledigung des Vorfalls abzuwarten, bis eine Entzugsverfügung ergehen kann (Verwaltungsrekurskommission, 1. März 2006, IV-2005/124).</w:t>
      </w:r>
    </w:p>
    <w:p>
      <w:pPr>
        <w:pStyle w:val="Heading2"/>
      </w:pPr>
      <w:r>
        <w:t>Volltext</w:t>
      </w:r>
    </w:p>
    <w:p>
      <w:r>
        <w:t>St.Gallen Verwaltungsrekurskommission 01.03.2006 IV-2005/124 Saint-Gall Verwaltungsrekurskommission 01.03.2006 IV-2005/124 San Gallo Verwaltungsrekurskommission 01.03.2006 IV-2005/124</w:t>
      </w:r>
    </w:p>
    <w:p>
      <w:r>
        <w:t>Art. 16c Abs. 1 lit. a und Abs. 2 lit. a SVG. Das Missachten des Rotlichts mit Unfallfolge stellt in aller Regel eine schwere Widerhandlung dar, die zu einem Führerausweisentzug von mindestens drei Monaten führt. Die Vorinstanz hat bei strittigem Sachverhalt regelmässig die strafrechtliche Erledigung des Vorfalls abzuwarten, bis eine Entzugsverfügung ergehen kann (Verwaltungsrekurskommission, 1. März 2006, IV-2005/124).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