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IV-2004/76 vom 25. August 2004</w:t>
      </w:r>
    </w:p>
    <w:p>
      <w:r>
        <w:t>SG Gerichte, 2004-08-25, DE</w:t>
      </w:r>
    </w:p>
    <w:p>
      <w:r>
        <w:rPr>
          <w:b/>
        </w:rPr>
        <w:t xml:space="preserve">Quelle: </w:t>
      </w:r>
      <w:r>
        <w:t>https://mcp.opencaselaw.ch/entscheid/sg_gerichte_IV-2004_76</w:t>
      </w:r>
    </w:p>
    <w:p>
      <w:r>
        <w:t>FR: SG_GERICHTE IV-2004/76 du 25 août 2004</w:t>
      </w:r>
    </w:p>
    <w:p>
      <w:r>
        <w:t>IT: SG_GERICHTE IV-2004/76 del 25 agosto 2004</w:t>
      </w:r>
    </w:p>
    <w:p>
      <w:pPr>
        <w:pStyle w:val="Heading2"/>
      </w:pPr>
      <w:r>
        <w:t>Regeste</w:t>
      </w:r>
    </w:p>
    <w:p>
      <w:r>
        <w:t>Art. 10 Abs. 3 Satz 2 SVG i.V.m. Art. 15 Abs. 3 VZV: Bei einer ehemaligen Methadonbezügerin liegt in aller Regel eine erhöhte Suchtgefährdung vor, was die Auflage einer Drogenabstinenz auch beim Lernfahrausweis rechtfertigt. (Verwaltungsrekurskommission, 25. August 2004, IV-2004/76)</w:t>
      </w:r>
    </w:p>
    <w:p>
      <w:pPr>
        <w:pStyle w:val="Heading2"/>
      </w:pPr>
      <w:r>
        <w:t>Volltext</w:t>
      </w:r>
    </w:p>
    <w:p>
      <w:r>
        <w:t>St.Gallen Verwaltungsrekurskommission 25.08.2004 IV-2004/76 Saint-Gall Verwaltungsrekurskommission 25.08.2004 IV-2004/76 San Gallo Verwaltungsrekurskommission 25.08.2004 IV-2004/76</w:t>
      </w:r>
    </w:p>
    <w:p>
      <w:r>
        <w:t>Art. 10 Abs. 3 Satz 2 SVG i.V.m. Art. 15 Abs. 3 VZV: Bei einer ehemaligen Methadonbezügerin liegt in aller Regel eine erhöhte Suchtgefährdung vor, was die Auflage einer Drogenabstinenz auch beim Lernfahrausweis rechtfertigt. (Verwaltungsrekurskommission, 25. August 2004, IV-2004/76)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