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IV-2004/66 vom 25. August 2004</w:t>
      </w:r>
    </w:p>
    <w:p>
      <w:r>
        <w:t>SG Gerichte, 2004-08-25, DE</w:t>
      </w:r>
    </w:p>
    <w:p>
      <w:r>
        <w:rPr>
          <w:b/>
        </w:rPr>
        <w:t xml:space="preserve">Quelle: </w:t>
      </w:r>
      <w:r>
        <w:t>https://mcp.opencaselaw.ch/entscheid/sg_gerichte_IV-2004_66</w:t>
      </w:r>
    </w:p>
    <w:p>
      <w:r>
        <w:t>FR: SG_GERICHTE IV-2004/66 du 25 août 2004</w:t>
      </w:r>
    </w:p>
    <w:p>
      <w:r>
        <w:t>IT: SG_GERICHTE IV-2004/66 del 25 agosto 2004</w:t>
      </w:r>
    </w:p>
    <w:p>
      <w:pPr>
        <w:pStyle w:val="Heading2"/>
      </w:pPr>
      <w:r>
        <w:t>Regeste</w:t>
      </w:r>
    </w:p>
    <w:p>
      <w:r>
        <w:t>Art. 42 Abs. 1 lit. b des Wiener Übereinkommens über den Strassenverkehr vom 8. November 1968 (SR 0.741.19): Das Strassenverkehrsamt ist berechtigt, nach Rechtskraft der Aberkennungsverfügung eine Meldung an das (zuständige) deutsche Kraftfahrt-Bundesamt vorzunehmen. (Verwaltungsrekurskommission, 25. August 2004, IV-2004/66)</w:t>
      </w:r>
    </w:p>
    <w:p>
      <w:pPr>
        <w:pStyle w:val="Heading2"/>
      </w:pPr>
      <w:r>
        <w:t>Volltext</w:t>
      </w:r>
    </w:p>
    <w:p>
      <w:r>
        <w:t>St.Gallen Verwaltungsrekurskommission 25.08.2004 IV-2004/66 Saint-Gall Verwaltungsrekurskommission 25.08.2004 IV-2004/66 San Gallo Verwaltungsrekurskommission 25.08.2004 IV-2004/66</w:t>
      </w:r>
    </w:p>
    <w:p>
      <w:r>
        <w:t>Art. 42 Abs. 1 lit. b des Wiener Übereinkommens über den Strassenverkehr vom 8. November 1968 (SR 0.741.19): Das Strassenverkehrsamt ist berechtigt, nach Rechtskraft der Aberkennungsverfügung eine Meldung an das (zuständige) deutsche Kraftfahrt-Bundesamt vorzunehmen. (Verwaltungsrekurskommission, 25. August 2004, IV-2004/66)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