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IV-2004/50P vom 25. Mai 2004</w:t>
      </w:r>
    </w:p>
    <w:p>
      <w:r>
        <w:t>SG Gerichte, 2004-05-25, DE</w:t>
      </w:r>
    </w:p>
    <w:p>
      <w:r>
        <w:rPr>
          <w:b/>
        </w:rPr>
        <w:t xml:space="preserve">Quelle: </w:t>
      </w:r>
      <w:r>
        <w:t>https://mcp.opencaselaw.ch/entscheid/sg_gerichte_IV-2004_50P</w:t>
      </w:r>
    </w:p>
    <w:p>
      <w:r>
        <w:t>FR: SG_GERICHTE IV-2004/50P du 25 mai 2004</w:t>
      </w:r>
    </w:p>
    <w:p>
      <w:r>
        <w:t>IT: SG_GERICHTE IV-2004/50P del 25 maggio 2004</w:t>
      </w:r>
    </w:p>
    <w:p>
      <w:pPr>
        <w:pStyle w:val="Heading2"/>
      </w:pPr>
      <w:r>
        <w:t>Regeste</w:t>
      </w:r>
    </w:p>
    <w:p>
      <w:r>
        <w:t>Art. 35 Abs. 3 VZV: Auch ein nicht abgeschlossenes verkehrspsychologisches Gutachten kann Grundlage für einen vorsorglichen Führerausweisentzug bilden. Durch die vom Gutachter vorgeschlagene Gesprächstherapie von 8-10 Stunden innert 4-5 Monaten vor Abschluss des Gutachtens wird die Dauer des vorsorglichen Führerausweisentzuges nicht ungebührlich lang hinausgezögert. (Verwaltungsrekurskommission, 25. Mai 2004, IV-2004/50P)</w:t>
      </w:r>
    </w:p>
    <w:p>
      <w:pPr>
        <w:pStyle w:val="Heading2"/>
      </w:pPr>
      <w:r>
        <w:t>Volltext</w:t>
      </w:r>
    </w:p>
    <w:p>
      <w:r>
        <w:t>St.Gallen Verwaltungsrekurskommission 25.05.2004 IV-2004/50P Saint-Gall Verwaltungsrekurskommission 25.05.2004 IV-2004/50P San Gallo Verwaltungsrekurskommission 25.05.2004 IV-2004/50P</w:t>
      </w:r>
    </w:p>
    <w:p>
      <w:r>
        <w:t>Art. 35 Abs. 3 VZV: Auch ein nicht abgeschlossenes verkehrspsychologisches Gutachten kann Grundlage für einen vorsorglichen Führerausweisentzug bilden. Durch die vom Gutachter vorgeschlagene Gesprächstherapie von 8-10 Stunden innert 4-5 Monaten vor Abschluss des Gutachtens wird die Dauer des vorsorglichen Führerausweisentzuges nicht ungebührlich lang hinausgezögert. (Verwaltungsrekurskommission, 25. Mai 2004, IV-2004/50P)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