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IV-2004/43 vom 20. Oktober 2004</w:t>
      </w:r>
    </w:p>
    <w:p>
      <w:r>
        <w:t>SG Gerichte, 2004-10-20, DE</w:t>
      </w:r>
    </w:p>
    <w:p>
      <w:r>
        <w:rPr>
          <w:b/>
        </w:rPr>
        <w:t xml:space="preserve">Quelle: </w:t>
      </w:r>
      <w:r>
        <w:t>https://mcp.opencaselaw.ch/entscheid/sg_gerichte_IV-2004_43</w:t>
      </w:r>
    </w:p>
    <w:p>
      <w:r>
        <w:t>FR: SG_GERICHTE IV-2004/43 du 20 octobre 2004</w:t>
      </w:r>
    </w:p>
    <w:p>
      <w:r>
        <w:t>IT: SG_GERICHTE IV-2004/43 del 20 ottobre 2004</w:t>
      </w:r>
    </w:p>
    <w:p>
      <w:pPr>
        <w:pStyle w:val="Heading2"/>
      </w:pPr>
      <w:r>
        <w:t>Regeste</w:t>
      </w:r>
    </w:p>
    <w:p>
      <w:r>
        <w:t>Art. 16 Abs. 2 Satz 2 SVG. Liegt ein leichter Fall einer ungenügend gesicherten Ladung vor, kann anstelle eines Führerausweisentzugs eine Verwarnung ausgesprochen werden (Verwaltungsrekurskommission, 20. Oktober 2004, IV-2004/43).</w:t>
      </w:r>
    </w:p>
    <w:p>
      <w:pPr>
        <w:pStyle w:val="Heading2"/>
      </w:pPr>
      <w:r>
        <w:t>Volltext</w:t>
      </w:r>
    </w:p>
    <w:p>
      <w:r>
        <w:t>St.Gallen Verwaltungsrekurskommission 20.10.2004 IV-2004/43 Saint-Gall Verwaltungsrekurskommission 20.10.2004 IV-2004/43 San Gallo Verwaltungsrekurskommission 20.10.2004 IV-2004/43</w:t>
      </w:r>
    </w:p>
    <w:p>
      <w:r>
        <w:t>Art. 16 Abs. 2 Satz 2 SVG. Liegt ein leichter Fall einer ungenügend gesicherten Ladung vor, kann anstelle eines Führerausweisentzugs eine Verwarnung ausgesprochen werden (Verwaltungsrekurskommission, 20. Oktober 2004, IV-2004/43).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