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IV-2003/134 vom 3. März 2004</w:t>
      </w:r>
    </w:p>
    <w:p>
      <w:r>
        <w:t>SG Gerichte, 2004-03-03, DE</w:t>
      </w:r>
    </w:p>
    <w:p>
      <w:r>
        <w:rPr>
          <w:b/>
        </w:rPr>
        <w:t xml:space="preserve">Quelle: </w:t>
      </w:r>
      <w:r>
        <w:t>https://mcp.opencaselaw.ch/entscheid/sg_gerichte_IV-2003_134</w:t>
      </w:r>
    </w:p>
    <w:p>
      <w:r>
        <w:t>FR: SG_GERICHTE IV-2003/134 du 3 mars 2004</w:t>
      </w:r>
    </w:p>
    <w:p>
      <w:r>
        <w:t>IT: SG_GERICHTE IV-2003/134 del 3 marzo 2004</w:t>
      </w:r>
    </w:p>
    <w:p>
      <w:pPr>
        <w:pStyle w:val="Heading2"/>
      </w:pPr>
      <w:r>
        <w:t>Regeste</w:t>
      </w:r>
    </w:p>
    <w:p>
      <w:r>
        <w:t>Art. 16 Abs. 3 lit. e SVG: Der Anwendungsbereich dieser Bestimmung ist auf Verkehrsregelverletzungen nach Art. 16 Abs. 2 SVG beschränkt und an strenge Voraussetzungen geknüpft.(Verwaltungsrekurskommission, 3. März 2004, IV-2003/134)</w:t>
      </w:r>
    </w:p>
    <w:p>
      <w:pPr>
        <w:pStyle w:val="Heading2"/>
      </w:pPr>
      <w:r>
        <w:t>Volltext</w:t>
      </w:r>
    </w:p>
    <w:p>
      <w:r>
        <w:t>St.Gallen Verwaltungsrekurskommission 03.03.2004 IV-2003/134 Saint-Gall Verwaltungsrekurskommission 03.03.2004 IV-2003/134 San Gallo Verwaltungsrekurskommission 03.03.2004 IV-2003/134</w:t>
      </w:r>
    </w:p>
    <w:p>
      <w:r>
        <w:t>Art. 16 Abs. 3 lit. e SVG: Der Anwendungsbereich dieser Bestimmung ist auf Verkehrsregelverletzungen nach Art. 16 Abs. 2 SVG beschränkt und an strenge Voraussetzungen geknüpft.(Verwaltungsrekurskommission, 3. März 2004, IV-2003/134)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