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HG.2014.229 vom 18. Januar 2017</w:t>
      </w:r>
    </w:p>
    <w:p>
      <w:r>
        <w:t>SG Gerichte, 2017-01-18, DE</w:t>
      </w:r>
    </w:p>
    <w:p>
      <w:r>
        <w:rPr>
          <w:b/>
        </w:rPr>
        <w:t xml:space="preserve">Quelle: </w:t>
      </w:r>
      <w:r>
        <w:t>https://mcp.opencaselaw.ch/entscheid/sg_gerichte_HG.2014.229</w:t>
      </w:r>
    </w:p>
    <w:p>
      <w:r>
        <w:t>FR: SG_GERICHTE HG.2014.229 du 18 janvier 2017</w:t>
      </w:r>
    </w:p>
    <w:p>
      <w:r>
        <w:t>IT: SG_GERICHTE HG.2014.229 del 18 gennaio 2017</w:t>
      </w:r>
    </w:p>
    <w:p>
      <w:pPr>
        <w:pStyle w:val="Heading2"/>
      </w:pPr>
      <w:r>
        <w:t>Regeste</w:t>
      </w:r>
    </w:p>
    <w:p>
      <w:r>
        <w:t>"Aus dem Wortlaut von Art. Art. 839 Abs. 4 ZGB lässt sich keine gesetzliche Verpflichtung der Gläubigerin ableiten, in jedem Falle stets eine separate Feststellungsklage gegen die Bürgin einleiten zu müssen. Es bedarf deshalb eines schützenswerten Feststellungsinteresse um auf die Feststellungsklage gegen die Bürgin eintreten zu können (Art. 59 Abs. 1 ZPO e contrario; Art. 236 Abs. 1 ZPO). An einem schützenswerten Feststellungsinteresse fehlt es, wenn die Gläubigerin ihre Forderung ohne weiteres gegen die Hauptschuldnerin geltend machen kann und keine Anhaltspunkte dafür bestehen, dass die Forderung nicht begleichen wird. Sind die Voraussetzungen für eine Leistungsklage gegen die Bürgin erfüllt, muss die Leistungsklage im Regelfall nicht mit einer separaten Feststellungsklage verbunden werden. Die notwendigen Feststellungen können im Rahmen Leistungsurteil getroffen werden, ohne dass es dafür eines separaten Feststellungsurteils bedürfte (Handelsgericht, 18. Januar 2017, HG.2014.229)."</w:t>
      </w:r>
    </w:p>
    <w:p>
      <w:pPr>
        <w:pStyle w:val="Heading2"/>
      </w:pPr>
      <w:r>
        <w:t>Volltext</w:t>
      </w:r>
    </w:p>
    <w:p>
      <w:r>
        <w:t>St.Gallen Handelsgericht 18.01.2017 HG.2014.229 Saint-Gall Handelsgericht 18.01.2017 HG.2014.229 San Gallo Handelsgericht 18.01.2017 HG.2014.229</w:t>
      </w:r>
    </w:p>
    <w:p>
      <w:r>
        <w:t>"Aus dem Wortlaut von Art. Art. 839 Abs. 4 ZGB lässt sich keine gesetzliche Verpflichtung der Gläubigerin ableiten, in jedem Falle stets eine separate Feststellungsklage gegen die Bürgin einleiten zu müssen. Es bedarf deshalb eines schützenswerten Feststellungsinteresse um auf die Feststellungsklage gegen die Bürgin eintreten zu können (Art. 59 Abs. 1 ZPO e contrario; Art. 236 Abs. 1 ZPO). An einem schützenswerten Feststellungsinteresse fehlt es, wenn die Gläubigerin ihre Forderung ohne weiteres gegen die Hauptschuldnerin geltend machen kann und keine Anhaltspunkte dafür bestehen, dass die Forderung nicht begleichen wird. Sind die Voraussetzungen für eine Leistungsklage gegen die Bürgin erfüllt, muss die Leistungsklage im Regelfall nicht mit einer separaten Feststellungsklage verbunden werden. Die notwendigen Feststellungen können im Rahmen Leistungsurteil getroffen werden, ohne dass es dafür eines separaten Feststellungsurteils bedürfte (Handelsgericht, 18. Januar 2017, HG.2014.229)."</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