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HG.2013.9 vom 26. Mai 2016</w:t>
      </w:r>
    </w:p>
    <w:p>
      <w:r>
        <w:t>SG Gerichte, 2016-05-26, DE</w:t>
      </w:r>
    </w:p>
    <w:p>
      <w:r>
        <w:rPr>
          <w:b/>
        </w:rPr>
        <w:t xml:space="preserve">Quelle: </w:t>
      </w:r>
      <w:r>
        <w:t>https://mcp.opencaselaw.ch/entscheid/sg_gerichte_HG.2013.9</w:t>
      </w:r>
    </w:p>
    <w:p>
      <w:r>
        <w:t>FR: SG_GERICHTE HG.2013.9 du 26 mai 2016</w:t>
      </w:r>
    </w:p>
    <w:p>
      <w:r>
        <w:t>IT: SG_GERICHTE HG.2013.9 del 26 maggio 2016</w:t>
      </w:r>
    </w:p>
    <w:p>
      <w:pPr>
        <w:pStyle w:val="Heading2"/>
      </w:pPr>
      <w:r>
        <w:t>Regeste</w:t>
      </w:r>
    </w:p>
    <w:p>
      <w:r>
        <w:t>Art. 6 Abs. 2 lit. c ZPO, Art. 147 ZPO, Art. 148 Abs. 1 ZPO: Die Handelsregistereintragung des Beklagten als Inhaber eines Einzelunternehmens reicht aus, um die Voraussetzung gemäss Art. 6 Abs. 2 lit. c ZPO zu erfüllen. Art. 6 Abs. 2 ZPO setzt nicht voraus, dass die Streitigkeit zwingend die geschäftliche Tätigkeit des beklagten Inhabers eines Einzelunternehmens betrifft. Wird die Frist zur Einreichung der Duplik nicht eingehalten, wird keine Nachfrist angesetzt, sondern das Verfahren ohne die versäumte Handlung weitergeführt. Der Eintritt der Präklusivwirkung setzt nicht voraus, dass bei Fristerstreckungen jeweils der Hinweis auf die Säumnisfolgen wiederholt wird. Es genügt, wenn bei der Ansetzung der Frist auf die Säumnisfolgen hingewiesen wurde. Die Voraussetzungen für eine Wiederherstellung der Frist sind vorliegend nicht erfüllt (Handelsgericht, 26. Mai 2016, HG.2013.9).Sachverhalt (gekürzt)</w:t>
      </w:r>
    </w:p>
    <w:p>
      <w:pPr>
        <w:pStyle w:val="Heading2"/>
      </w:pPr>
      <w:r>
        <w:t>Volltext</w:t>
      </w:r>
    </w:p>
    <w:p>
      <w:r>
        <w:t>St.Gallen Handelsgericht 26.05.2016 HG.2013.9 Saint-Gall Handelsgericht 26.05.2016 HG.2013.9 San Gallo Handelsgericht 26.05.2016 HG.2013.9</w:t>
      </w:r>
    </w:p>
    <w:p>
      <w:r>
        <w:t>Art. 6 Abs. 2 lit. c ZPO, Art. 147 ZPO, Art. 148 Abs. 1 ZPO: Die Handelsregistereintragung des Beklagten als Inhaber eines Einzelunternehmens reicht aus, um die Voraussetzung gemäss Art. 6 Abs. 2 lit. c ZPO zu erfüllen. Art. 6 Abs. 2 ZPO setzt nicht voraus, dass die Streitigkeit zwingend die geschäftliche Tätigkeit des beklagten Inhabers eines Einzelunternehmens betrifft. Wird die Frist zur Einreichung der Duplik nicht eingehalten, wird keine Nachfrist angesetzt, sondern das Verfahren ohne die versäumte Handlung weitergeführt. Der Eintritt der Präklusivwirkung setzt nicht voraus, dass bei Fristerstreckungen jeweils der Hinweis auf die Säumnisfolgen wiederholt wird. Es genügt, wenn bei der Ansetzung der Frist auf die Säumnisfolgen hingewiesen wurde. Die Voraussetzungen für eine Wiederherstellung der Frist sind vorliegend nicht erfüllt (Handelsgericht, 26. Mai 2016, HG.2013.9).Sachverhalt (gekürzt)</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