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HG.2012.215 vom 24. Juli 2013</w:t>
      </w:r>
    </w:p>
    <w:p>
      <w:r>
        <w:t>SG Gerichte, 2013-07-24, DE</w:t>
      </w:r>
    </w:p>
    <w:p>
      <w:r>
        <w:rPr>
          <w:b/>
        </w:rPr>
        <w:t xml:space="preserve">Quelle: </w:t>
      </w:r>
      <w:r>
        <w:t>https://mcp.opencaselaw.ch/entscheid/sg_gerichte_HG.2012.215</w:t>
      </w:r>
    </w:p>
    <w:p>
      <w:r>
        <w:t>FR: SG_GERICHTE HG.2012.215 du 24 juillet 2013</w:t>
      </w:r>
    </w:p>
    <w:p>
      <w:r>
        <w:t>IT: SG_GERICHTE HG.2012.215 del 24 luglio 2013</w:t>
      </w:r>
    </w:p>
    <w:p>
      <w:pPr>
        <w:pStyle w:val="Heading2"/>
      </w:pPr>
      <w:r>
        <w:t>Regeste</w:t>
      </w:r>
    </w:p>
    <w:p>
      <w:r>
        <w:t>Art. 6 Abs. 2, Art. 198 lit. f und Art. 200 ZPO (SR 272). Sachliche Zuständigkeit des Handelsgerichtes in Mietsachen, wenn die Voraussetzungen von Art. 6 Abs. 2 ZPO gegeben sind. Nicht zu beurteilen und daher offen gelassen: Zuständigkeit für mietrechtliche Streitigkeiten nach Art. 243 ZPO (Handelsgericht, Zwischenentscheid vom 24. Juli 2013, HG.2012.215).</w:t>
      </w:r>
    </w:p>
    <w:p>
      <w:pPr>
        <w:pStyle w:val="Heading2"/>
      </w:pPr>
      <w:r>
        <w:t>Volltext</w:t>
      </w:r>
    </w:p>
    <w:p>
      <w:r>
        <w:t>St.Gallen Kantonsgericht Sonstiges 27.07.2013 HG.2012.215</w:t>
      </w:r>
    </w:p>
    <w:p>
      <w:r>
        <w:t>Art. 6 Abs. 2, Art. 198 lit. f und Art. 200 ZPO (SR 272). Sachliche Zuständigkeit des Handelsgerichtes in Mietsachen, wenn die Voraussetzungen von Art. 6 Abs. 2 ZPO gegeben sind. Nicht zu beurteilen und daher offen gelassen: Zuständigkeit für mietrechtliche Streitigkeiten nach Art. 243 ZPO (Handelsgericht, Zwischenentscheid vom 24. Juli 2013, HG.2012.215).</w:t>
      </w:r>
    </w:p>
    <w:p>
      <w:r>
        <w:t>St.Gallen Kantonsgericht Sonstiges Saint-Gall Sonstiges San Gallo Sonstiges Handelsgericht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