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HG.2012.192 vom 9. Februar 2018</w:t>
      </w:r>
    </w:p>
    <w:p>
      <w:r>
        <w:t>SG Gerichte, 2018-02-09, DE</w:t>
      </w:r>
    </w:p>
    <w:p>
      <w:r>
        <w:rPr>
          <w:b/>
        </w:rPr>
        <w:t xml:space="preserve">Quelle: </w:t>
      </w:r>
      <w:r>
        <w:t>https://mcp.opencaselaw.ch/entscheid/sg_gerichte_HG.2012.192</w:t>
      </w:r>
    </w:p>
    <w:p>
      <w:r>
        <w:t>FR: SG_GERICHTE HG.2012.192 du 9 février 2018</w:t>
      </w:r>
    </w:p>
    <w:p>
      <w:r>
        <w:t>IT: SG_GERICHTE HG.2012.192 del 9 febbraio 2018</w:t>
      </w:r>
    </w:p>
    <w:p>
      <w:pPr>
        <w:pStyle w:val="Heading2"/>
      </w:pPr>
      <w:r>
        <w:t>Regeste</w:t>
      </w:r>
    </w:p>
    <w:p>
      <w:r>
        <w:t>Art. 229 Abs. 1 ZPO (SR 272): Wird ein erster voller Schriftenwechsel und ein weiterer, auf die Rechnungslegung und Einsichtnahme beschränkter Schriftenwechsel durchgeführt, tritt mit der nach dem Zwischenentscheid erstatteten Replik und Duplik Aktenschluss ein.Art. 418g und Art. 418h OR (SR 220): Zulässigkeit und Auslegung einer Vertragsklausel, die zum (teilweisen) Dahinfallen des klägerischen Provisionsanspruchs führt.Art. 418u Abs. 1 OR (SR 220): Wesentliche Ausweitung des Kundenkreises, aus der auch nach Auflösung des Agenturverhältnisses erhebliche Vorteile erwachsen, im konkreten Fall verneint.Art. 418c OR (SR 220): Die Sorgfaltspflicht des Agenten ist in der Regel kaufmännischer Natur. Bringt der Auftraggeber vor, der Agent treffe Sorgfaltspflichten in der Übermittlung von technischen Angaben, hat er substantiiert darzulegen, worin diese Pflichten genau bestanden. Dies zumal sich die Tätigkeit des Agenten auf die Vermittlung des Geschäfts beschränkt und es bei grösseren technischen Projekten den Gepflogenheiten entspricht, dass nach Vertragsabschluss zwischen dem Besteller und dem Lieferanten eine direkte Kommunikation zur technischen Abwicklung des Auftrags stattfindet. (Handelsgericht, 9. Februar 2018, HG.2012.192).</w:t>
      </w:r>
    </w:p>
    <w:p>
      <w:pPr>
        <w:pStyle w:val="Heading2"/>
      </w:pPr>
      <w:r>
        <w:t>Volltext</w:t>
      </w:r>
    </w:p>
    <w:p>
      <w:r>
        <w:t>St.Gallen Handelsgericht 09.02.2018 HG.2012.192 Saint-Gall Handelsgericht 09.02.2018 HG.2012.192 San Gallo Handelsgericht 09.02.2018 HG.2012.192</w:t>
      </w:r>
    </w:p>
    <w:p>
      <w:r>
        <w:t>Art. 229 Abs. 1 ZPO (SR 272): Wird ein erster voller Schriftenwechsel und ein weiterer, auf die Rechnungslegung und Einsichtnahme beschränkter Schriftenwechsel durchgeführt, tritt mit der nach dem Zwischenentscheid erstatteten Replik und Duplik Aktenschluss ein.Art. 418g und Art. 418h OR (SR 220): Zulässigkeit und Auslegung einer Vertragsklausel, die zum (teilweisen) Dahinfallen des klägerischen Provisionsanspruchs führt.Art. 418u Abs. 1 OR (SR 220): Wesentliche Ausweitung des Kundenkreises, aus der auch nach Auflösung des Agenturverhältnisses erhebliche Vorteile erwachsen, im konkreten Fall verneint.Art. 418c OR (SR 220): Die Sorgfaltspflicht des Agenten ist in der Regel kaufmännischer Natur. Bringt der Auftraggeber vor, der Agent treffe Sorgfaltspflichten in der Übermittlung von technischen Angaben, hat er substantiiert darzulegen, worin diese Pflichten genau bestanden. Dies zumal sich die Tätigkeit des Agenten auf die Vermittlung des Geschäfts beschränkt und es bei grösseren technischen Projekten den Gepflogenheiten entspricht, dass nach Vertragsabschluss zwischen dem Besteller und dem Lieferanten eine direkte Kommunikation zur technischen Abwicklung des Auftrags stattfindet. (Handelsgericht, 9. Februar 2018, HG.2012.192).</w:t>
      </w:r>
    </w:p>
    <w:p>
      <w:r>
        <w:t>St.Gallen Handelsgericht Saint-Gall Handelsgericht San Gallo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