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HG.2011.24 vom 11. März 2011</w:t>
      </w:r>
    </w:p>
    <w:p>
      <w:r>
        <w:t>SG Gerichte, 2011-03-11, DE</w:t>
      </w:r>
    </w:p>
    <w:p>
      <w:r>
        <w:rPr>
          <w:b/>
        </w:rPr>
        <w:t xml:space="preserve">Quelle: </w:t>
      </w:r>
      <w:r>
        <w:t>https://mcp.opencaselaw.ch/entscheid/sg_gerichte_HG.2011.24</w:t>
      </w:r>
    </w:p>
    <w:p>
      <w:r>
        <w:t>FR: SG_GERICHTE HG.2011.24 du 11 mars 2011</w:t>
      </w:r>
    </w:p>
    <w:p>
      <w:r>
        <w:t>IT: SG_GERICHTE HG.2011.24 del 11 marzo 2011</w:t>
      </w:r>
    </w:p>
    <w:p>
      <w:pPr>
        <w:pStyle w:val="Heading2"/>
      </w:pPr>
      <w:r>
        <w:t>Regeste</w:t>
      </w:r>
    </w:p>
    <w:p>
      <w:r>
        <w:t>Art. 101 Abs. 3 ZPO (SR 272) und Art. 17 Abs. 1 lit. e EG ZPO (sGS 961.2). Die verfahrensleitende Richterin oder der verfahrensleitende Richter bzw. die Präsidentin oder der Präsident des Handelsgerichts ist sachlich zuständig, bei Nichtleistung des Kostenvorschusses über das Nichteintreten auf die Klage zu entscheiden (Handelsgerichtspräsident, 11. März 2011, HG.2011.24).</w:t>
      </w:r>
    </w:p>
    <w:p>
      <w:pPr>
        <w:pStyle w:val="Heading2"/>
      </w:pPr>
      <w:r>
        <w:t>Volltext</w:t>
      </w:r>
    </w:p>
    <w:p>
      <w:r>
        <w:t>St.Gallen Kantonsgericht Sonstiges 11.03.2011 HG.2011.24</w:t>
      </w:r>
    </w:p>
    <w:p>
      <w:r>
        <w:t>Art. 101 Abs. 3 ZPO (SR 272) und Art. 17 Abs. 1 lit. e EG ZPO (sGS 961.2). Die verfahrensleitende Richterin oder der verfahrensleitende Richter bzw. die Präsidentin oder der Präsident des Handelsgerichts ist sachlich zuständig, bei Nichtleistung des Kostenvorschusses über das Nichteintreten auf die Klage zu entscheiden (Handelsgerichtspräsident, 11. März 2011, HG.2011.24).</w:t>
      </w:r>
    </w:p>
    <w:p>
      <w:r>
        <w:t>St.Gallen Kantonsgericht Sonstiges Saint-Gall Sonstiges San Gallo Sonstiges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