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HG.2010.10 vom 25. März 2010</w:t>
      </w:r>
    </w:p>
    <w:p>
      <w:r>
        <w:t>SG Gerichte, 2010-03-25, DE</w:t>
      </w:r>
    </w:p>
    <w:p>
      <w:r>
        <w:rPr>
          <w:b/>
        </w:rPr>
        <w:t xml:space="preserve">Quelle: </w:t>
      </w:r>
      <w:r>
        <w:t>https://mcp.opencaselaw.ch/entscheid/sg_gerichte_HG.2010.10</w:t>
      </w:r>
    </w:p>
    <w:p>
      <w:r>
        <w:t>FR: SG_GERICHTE HG.2010.10 du 25 mars 2010</w:t>
      </w:r>
    </w:p>
    <w:p>
      <w:r>
        <w:t>IT: SG_GERICHTE HG.2010.10 del 25 marzo 2010</w:t>
      </w:r>
    </w:p>
    <w:p>
      <w:pPr>
        <w:pStyle w:val="Heading2"/>
      </w:pPr>
      <w:r>
        <w:t>Regeste</w:t>
      </w:r>
    </w:p>
    <w:p>
      <w:r>
        <w:t>Art. 30a, Art. 83 Abs. 2 SchKG (SR 281.1), Art. 17 Abs. 1, Art. 18, Art. 21 LugÜ (SR 0.275.11) und Art. 9 Abs. 2 IPRG (SR 291). Eine schriftlich abgeschlossene Gerichtsstandsvereinbarung, die auf den Sitz der Gesellschaft im Kanton St. Gallen, d.h. der Aberkennungsklägerin, verweist, ist nach Art. 17 Abs. 1 LugÜ gültig. Der Begriff der Klageanhebung bestimmt sich nicht allein nach Art. 9 Abs. 2 IPRG, sondern unter Berücksichtigung von Art. 21 LugÜ. Die nach Art. 21 LugÜ erforderliche Fortführungslast besteht vorliegend, nachdem die Klägerin innert 20 Tagen ein Vermittlungsbegehren betreffend eine Aberkennungsklage im Sinne von Art. 83 Abs. 2 SchKG eingereicht hat. Die Beklagte hat sich ferner auf die Klage gemäss Art. 18 LugÜ eingelassen (Handelsgericht, 25. März 2010, HG.2010.10).</w:t>
      </w:r>
    </w:p>
    <w:p>
      <w:pPr>
        <w:pStyle w:val="Heading2"/>
      </w:pPr>
      <w:r>
        <w:t>Volltext</w:t>
      </w:r>
    </w:p>
    <w:p>
      <w:r>
        <w:t>St.Gallen Kantonsgericht Sonstiges 25.03.2010 HG.2010.10</w:t>
      </w:r>
    </w:p>
    <w:p>
      <w:r>
        <w:t>Art. 30a, Art. 83 Abs. 2 SchKG (SR 281.1), Art. 17 Abs. 1, Art. 18, Art. 21 LugÜ (SR 0.275.11) und Art. 9 Abs. 2 IPRG (SR 291). Eine schriftlich abgeschlossene Gerichtsstandsvereinbarung, die auf den Sitz der Gesellschaft im Kanton St. Gallen, d.h. der Aberkennungsklägerin, verweist, ist nach Art. 17 Abs. 1 LugÜ gültig. Der Begriff der Klageanhebung bestimmt sich nicht allein nach Art. 9 Abs. 2 IPRG, sondern unter Berücksichtigung von Art. 21 LugÜ. Die nach Art. 21 LugÜ erforderliche Fortführungslast besteht vorliegend, nachdem die Klägerin innert 20 Tagen ein Vermittlungsbegehren betreffend eine Aberkennungsklage im Sinne von Art. 83 Abs. 2 SchKG eingereicht hat. Die Beklagte hat sich ferner auf die Klage gemäss Art. 18 LugÜ eingelassen (Handelsgericht, 25. März 2010, HG.2010.10).</w:t>
      </w:r>
    </w:p>
    <w:p>
      <w:r>
        <w:t>St.Gallen Kantonsgericht Sonstiges Saint-Gall Sonstiges San Gallo Sonstiges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