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HG.2009.4 vom 10. Mai 2011</w:t>
      </w:r>
    </w:p>
    <w:p>
      <w:r>
        <w:t>SG Gerichte, 2011-05-10, DE</w:t>
      </w:r>
    </w:p>
    <w:p>
      <w:r>
        <w:rPr>
          <w:b/>
        </w:rPr>
        <w:t xml:space="preserve">Quelle: </w:t>
      </w:r>
      <w:r>
        <w:t>https://mcp.opencaselaw.ch/entscheid/sg_gerichte_HG.2009.4</w:t>
      </w:r>
    </w:p>
    <w:p>
      <w:r>
        <w:t>FR: SG_GERICHTE HG.2009.4 du 10 mai 2011</w:t>
      </w:r>
    </w:p>
    <w:p>
      <w:r>
        <w:t>IT: SG_GERICHTE HG.2009.4 del 10 maggio 2011</w:t>
      </w:r>
    </w:p>
    <w:p>
      <w:pPr>
        <w:pStyle w:val="Heading2"/>
      </w:pPr>
      <w:r>
        <w:t>Regeste</w:t>
      </w:r>
    </w:p>
    <w:p>
      <w:r>
        <w:t>Art. 164 und Art. 244 ZPO (sGS 961.2); Art. 1 und Art. 7 PatG (SR 232.14). Der Rückweisungsentscheid des Kassationsgerichts des Kantons St. Gallen bindet das Handelsgericht an die Rechtsauffassung, die ihm zugrunde liegt, weshalb eine von der Klägerin mit einer nachträglichen Eingabe eingereichte Patentschrift zu berücksichtigen ist. Im Sinne der Verhandlungsmaxime ist der Nachweis des Standes der Technik Sache der Parteien. Eine im Rückweisungsverfahren eingereichte nachträgliche Eingabe der Klägerin, mit welcher Patentschriften eingereicht werden, ist wegen Nichteinhaltung der Frist und mangelnder Sorgfalt nicht zuzulassent. Unter welchen Voraussetzungen ist bei einer Patentnichtigkeitsklage eine Erfindung neu und beruht auf einer erfinderischen Tätigkeit? (Handelsgericht St. Gallen, 10. Mai 2011, HG.2009.4).</w:t>
      </w:r>
    </w:p>
    <w:p>
      <w:pPr>
        <w:pStyle w:val="Heading2"/>
      </w:pPr>
      <w:r>
        <w:t>Volltext</w:t>
      </w:r>
    </w:p>
    <w:p>
      <w:r>
        <w:t>St.Gallen Kantonsgericht Sonstiges 10.05.2011 HG.2009.4</w:t>
      </w:r>
    </w:p>
    <w:p>
      <w:r>
        <w:t>Art. 164 und Art. 244 ZPO (sGS 961.2); Art. 1 und Art. 7 PatG (SR 232.14). Der Rückweisungsentscheid des Kassationsgerichts des Kantons St. Gallen bindet das Handelsgericht an die Rechtsauffassung, die ihm zugrunde liegt, weshalb eine von der Klägerin mit einer nachträglichen Eingabe eingereichte Patentschrift zu berücksichtigen ist. Im Sinne der Verhandlungsmaxime ist der Nachweis des Standes der Technik Sache der Parteien. Eine im Rückweisungsverfahren eingereichte nachträgliche Eingabe der Klägerin, mit welcher Patentschriften eingereicht werden, ist wegen Nichteinhaltung der Frist und mangelnder Sorgfalt nicht zuzulassent. Unter welchen Voraussetzungen ist bei einer Patentnichtigkeitsklage eine Erfindung neu und beruht auf einer erfinderischen Tätigkeit? (Handelsgericht St. Gallen, 10. Mai 2011, HG.2009.4).</w:t>
      </w:r>
    </w:p>
    <w:p>
      <w:r>
        <w:t>St.Gallen Kantonsgericht Sonstiges Saint-Gall Sonstiges San Gallo Sonstiges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