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HG.2008.127 vom 23. März 2010</w:t>
      </w:r>
    </w:p>
    <w:p>
      <w:r>
        <w:t>SG Gerichte, 2010-03-23, DE</w:t>
      </w:r>
    </w:p>
    <w:p>
      <w:r>
        <w:rPr>
          <w:b/>
        </w:rPr>
        <w:t xml:space="preserve">Quelle: </w:t>
      </w:r>
      <w:r>
        <w:t>https://mcp.opencaselaw.ch/entscheid/sg_gerichte_HG.2008.127</w:t>
      </w:r>
    </w:p>
    <w:p>
      <w:r>
        <w:t>FR: SG_GERICHTE HG.2008.127 du 23 mars 2010</w:t>
      </w:r>
    </w:p>
    <w:p>
      <w:r>
        <w:t>IT: SG_GERICHTE HG.2008.127 del 23 marzo 2010</w:t>
      </w:r>
    </w:p>
    <w:p>
      <w:pPr>
        <w:pStyle w:val="Heading2"/>
      </w:pPr>
      <w:r>
        <w:t>Regeste</w:t>
      </w:r>
    </w:p>
    <w:p>
      <w:r>
        <w:t>Art. 18 Abs. 1, Art. 32 Abs. 2 Variante 3, Art. 127, Art. 363, Art. 367 Abs. 1, Art. 370, Art. 371 Abs. 2, Art. 394 OR (SR 220). Die Klägerin (und nicht die F. Generalbau AG) ist Vertragspartnerin der Beklagten im streitgegenständlichen Ingenieurvertrag, nachdem es der Beklagten gleichgültig war, welche der beiden Gesellschaften (Klägerin oder F. Generalbau AG) Auftraggeberin war. Dieser Ingenieurvertrag ist als Gesamtvertrag anzusehen. Der Gesamtvertrag des Ingenieurs ist nach der Bundesgerichtspraxis ein aus auftragsrechtlichen und werkvertraglichen Elementen gemischter Vertrag. Mit der herrschenden Lehre sind im vorliegenden Fall die auf komplexer Grundlage beruhenden Haftungsfragen einheitlich nach auftragsrechtlichen Grundsätzen zu behandeln. Dies führt dazu, dass die Verjährung noch nicht eingetreten ist und sich keine Verwirkungsragen stellen. Eventualiter - unter der Annahme, dass der Ingenieurvertrag zwischen den Parteien als Werkvertrag anzusehen sei bzw. die hier strittigen Haftungsfragen für Mangelfolgeschaden nach Werkvertragsrecht abzuhandeln seien - haben die Mängelrügen als rechtzeitig und gültig erhobenen zu gelten und ist davon auszugehen, dass die Verjährung nach Art. 371 Abs. 2 OR noch nicht eingetreten ist (Handelsgericht, 23. März 2010, HG.2008.127)</w:t>
      </w:r>
    </w:p>
    <w:p>
      <w:pPr>
        <w:pStyle w:val="Heading2"/>
      </w:pPr>
      <w:r>
        <w:t>Volltext</w:t>
      </w:r>
    </w:p>
    <w:p>
      <w:r>
        <w:t>St.Gallen Kantonsgericht Sonstiges 23.03.2010 HG.2008.127</w:t>
      </w:r>
    </w:p>
    <w:p>
      <w:r>
        <w:t>Art. 18 Abs. 1, Art. 32 Abs. 2 Variante 3, Art. 127, Art. 363, Art. 367 Abs. 1, Art. 370, Art. 371 Abs. 2, Art. 394 OR (SR 220). Die Klägerin (und nicht die F. Generalbau AG) ist Vertragspartnerin der Beklagten im streitgegenständlichen Ingenieurvertrag, nachdem es der Beklagten gleichgültig war, welche der beiden Gesellschaften (Klägerin oder F. Generalbau AG) Auftraggeberin war. Dieser Ingenieurvertrag ist als Gesamtvertrag anzusehen. Der Gesamtvertrag des Ingenieurs ist nach der Bundesgerichtspraxis ein aus auftragsrechtlichen und werkvertraglichen Elementen gemischter Vertrag. Mit der herrschenden Lehre sind im vorliegenden Fall die auf komplexer Grundlage beruhenden Haftungsfragen einheitlich nach auftragsrechtlichen Grundsätzen zu behandeln. Dies führt dazu, dass die Verjährung noch nicht eingetreten ist und sich keine Verwirkungsragen stellen. Eventualiter - unter der Annahme, dass der Ingenieurvertrag zwischen den Parteien als Werkvertrag anzusehen sei bzw. die hier strittigen Haftungsfragen für Mangelfolgeschaden nach Werkvertragsrecht abzuhandeln seien - haben die Mängelrügen als rechtzeitig und gültig erhobenen zu gelten und ist davon auszugehen, dass die Verjährung nach Art. 371 Abs. 2 OR noch nicht eingetreten ist (Handelsgericht, 23. März 2010, HG.2008.127)</w:t>
      </w:r>
    </w:p>
    <w:p>
      <w:r>
        <w:t>St.Gallen Kantonsgericht Sonstiges Saint-Gall Sonstiges San Gallo Sonstiges Handelsgericht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