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HG.2008.104 vom 6. Januar 2009</w:t>
      </w:r>
    </w:p>
    <w:p>
      <w:r>
        <w:t>SG Gerichte, 2009-01-06, DE</w:t>
      </w:r>
    </w:p>
    <w:p>
      <w:r>
        <w:rPr>
          <w:b/>
        </w:rPr>
        <w:t xml:space="preserve">Quelle: </w:t>
      </w:r>
      <w:r>
        <w:t>https://mcp.opencaselaw.ch/entscheid/sg_gerichte_HG.2008.104</w:t>
      </w:r>
    </w:p>
    <w:p>
      <w:r>
        <w:t>FR: SG_GERICHTE HG.2008.104 du 6 janvier 2009</w:t>
      </w:r>
    </w:p>
    <w:p>
      <w:r>
        <w:t>IT: SG_GERICHTE HG.2008.104 del 6 gennaio 2009</w:t>
      </w:r>
    </w:p>
    <w:p>
      <w:pPr>
        <w:pStyle w:val="Heading2"/>
      </w:pPr>
      <w:r>
        <w:t>Regeste</w:t>
      </w:r>
    </w:p>
    <w:p>
      <w:r>
        <w:t>Art. 2, Art 3 lit. d und 5 lit. c UWG (SR 241). Da Fixierungen insbesondere für Schläuche von der Gesuchsgegnerin nicht mittels technischer Reproduktionsverfahren und ohne angemessenen Aufwand übernommen worden sind und dies technisch auch nicht möglich ist, liegt keine Verwertung fremder Leistung vor. Auch eine Verwechslungsgefahr besteht nicht (Handelsgerichtspräsident, 6. Januar 2009, HG.2008.104).</w:t>
      </w:r>
    </w:p>
    <w:p>
      <w:pPr>
        <w:pStyle w:val="Heading2"/>
      </w:pPr>
      <w:r>
        <w:t>Volltext</w:t>
      </w:r>
    </w:p>
    <w:p>
      <w:r>
        <w:t>St.Gallen Kantonsgericht Sonstiges 06.01.2009 HG.2008.104</w:t>
      </w:r>
    </w:p>
    <w:p>
      <w:r>
        <w:t>Art. 2, Art 3 lit. d und 5 lit. c UWG (SR 241). Da Fixierungen insbesondere für Schläuche von der Gesuchsgegnerin nicht mittels technischer Reproduktionsverfahren und ohne angemessenen Aufwand übernommen worden sind und dies technisch auch nicht möglich ist, liegt keine Verwertung fremder Leistung vor. Auch eine Verwechslungsgefahr besteht nicht (Handelsgerichtspräsident, 6. Januar 2009, HG.2008.104).</w:t>
      </w:r>
    </w:p>
    <w:p>
      <w:r>
        <w:t>St.Gallen Kantonsgericht Sonstiges Saint-Gall Sonstiges San Gallo Sonstiges Handelsgericht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