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HG.2007.87 vom 13. November 2008</w:t>
      </w:r>
    </w:p>
    <w:p>
      <w:r>
        <w:t>SG Gerichte, 2008-11-13, DE</w:t>
      </w:r>
    </w:p>
    <w:p>
      <w:r>
        <w:rPr>
          <w:b/>
        </w:rPr>
        <w:t xml:space="preserve">Quelle: </w:t>
      </w:r>
      <w:r>
        <w:t>https://mcp.opencaselaw.ch/entscheid/sg_gerichte_HG.2007.87</w:t>
      </w:r>
    </w:p>
    <w:p>
      <w:r>
        <w:t>FR: SG_GERICHTE HG.2007.87 du 13 novembre 2008</w:t>
      </w:r>
    </w:p>
    <w:p>
      <w:r>
        <w:t>IT: SG_GERICHTE HG.2007.87 del 13 novembre 2008</w:t>
      </w:r>
    </w:p>
    <w:p>
      <w:pPr>
        <w:pStyle w:val="Heading2"/>
      </w:pPr>
      <w:r>
        <w:t>Regeste</w:t>
      </w:r>
    </w:p>
    <w:p>
      <w:r>
        <w:t>Art. 5 Abs. 1 lit. a HZÜ (SR 0.274.131), Art. 73 Abs. 2 GerG (sGS 941.1), Art. 61 und Art. 165 Abs. 2 ZPO (sGS 961.2); Art. 17 Abs. 1 LugÜ (SR 275.11); Art. 97 Abs. 1 und Art. 42 Abs. 2 OR (SR 220). Eine Partei, die an einem Verfahren überhaupt nicht teilnimmt, verzichtet integral auf ihr rechtliches Gehör. Verweigert eine ausländische Beklagte die Annahme der ihr in einer der gesetzlichen Formen nach Art. 5 Abs. 1 lit. a HZÜ zugestellten Klageschrift, kann darauf verzichtet werden, Mitteilungen an sie im Amtsblatt zu veröffentlichen oder ihr zur Einreichung einer Klageantwort eine Nachfrist zu setzen. Die Säumigkeit mit der Einreichung einer Klageantwort führt zu einem Entscheid alleine aufgrund der in der Klageschrift enthaltenen Behauptungen und Beweismittel. Auf die Substanzierungspflicht und die Beweislast hat die Säumigkeit keinen Einfluss, doch kann das Gericht eher aufgrund von Indizien, tatsächlichen Vermutungen und aufgrund der Lebenserfahrung einen Beweis als erbracht betrachten. Auslegung einer Gerichtsstandsvereinbarung: Haben zwei Parteien als Gerichtsstand den Ort vereinbart, an welchem die eine bei Vertragsschluss ihren Sitz hatte, so ist dies nach den Umständen als Verweisung auf den jeweiligen Sitz der betreffenden Partei in der Schweiz zu verstehen; für den vorliegenden Fall wurde dies bejaht. Schadenersatz für entgangenen Gewinn bei Verletzung einer Alleinabnahmeverpflichtung. Schätzung des entgangenen Gewinns nach Ermessen. Schadenersatz für entgangenen Gewinn bei Verletzung eines nachwirkenden vertraglichen Verbots, Konkurrenzprodukte zu vertreiben (Handelsgericht St. Gallen, 13. November 2008, HG.2007.87).Das Kassationsgericht hat dieses Urteil mit Entscheid vom 10. September 2009 bestätigt.</w:t>
      </w:r>
    </w:p>
    <w:p>
      <w:pPr>
        <w:pStyle w:val="Heading2"/>
      </w:pPr>
      <w:r>
        <w:t>Volltext</w:t>
      </w:r>
    </w:p>
    <w:p>
      <w:r>
        <w:t>St.Gallen Handelsgericht 13.11.2008 HG.2007.87 Saint-Gall Handelsgericht 13.11.2008 HG.2007.87 San Gallo Handelsgericht 13.11.2008 HG.2007.87</w:t>
      </w:r>
    </w:p>
    <w:p>
      <w:r>
        <w:t>Art. 5 Abs. 1 lit. a HZÜ (SR 0.274.131), Art. 73 Abs. 2 GerG (sGS 941.1), Art. 61 und Art. 165 Abs. 2 ZPO (sGS 961.2); Art. 17 Abs. 1 LugÜ (SR 275.11); Art. 97 Abs. 1 und Art. 42 Abs. 2 OR (SR 220). Eine Partei, die an einem Verfahren überhaupt nicht teilnimmt, verzichtet integral auf ihr rechtliches Gehör. Verweigert eine ausländische Beklagte die Annahme der ihr in einer der gesetzlichen Formen nach Art. 5 Abs. 1 lit. a HZÜ zugestellten Klageschrift, kann darauf verzichtet werden, Mitteilungen an sie im Amtsblatt zu veröffentlichen oder ihr zur Einreichung einer Klageantwort eine Nachfrist zu setzen. Die Säumigkeit mit der Einreichung einer Klageantwort führt zu einem Entscheid alleine aufgrund der in der Klageschrift enthaltenen Behauptungen und Beweismittel. Auf die Substanzierungspflicht und die Beweislast hat die Säumigkeit keinen Einfluss, doch kann das Gericht eher aufgrund von Indizien, tatsächlichen Vermutungen und aufgrund der Lebenserfahrung einen Beweis als erbracht betrachten. Auslegung einer Gerichtsstandsvereinbarung: Haben zwei Parteien als Gerichtsstand den Ort vereinbart, an welchem die eine bei Vertragsschluss ihren Sitz hatte, so ist dies nach den Umständen als Verweisung auf den jeweiligen Sitz der betreffenden Partei in der Schweiz zu verstehen; für den vorliegenden Fall wurde dies bejaht. Schadenersatz für entgangenen Gewinn bei Verletzung einer Alleinabnahmeverpflichtung. Schätzung des entgangenen Gewinns nach Ermessen. Schadenersatz für entgangenen Gewinn bei Verletzung eines nachwirkenden vertraglichen Verbots, Konkurrenzprodukte zu vertreiben (Handelsgericht St. Gallen, 13. November 2008, HG.2007.87).Das Kassationsgericht hat dieses Urteil mit Entscheid vom 10. September 2009 bestätigt.</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