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HG.2006.1 vom 3. Juli 2006</w:t>
      </w:r>
    </w:p>
    <w:p>
      <w:r>
        <w:t>SG Gerichte, 2006-07-03, DE</w:t>
      </w:r>
    </w:p>
    <w:p>
      <w:r>
        <w:rPr>
          <w:b/>
        </w:rPr>
        <w:t xml:space="preserve">Quelle: </w:t>
      </w:r>
      <w:r>
        <w:t>https://mcp.opencaselaw.ch/entscheid/sg_gerichte_HG.2006.1</w:t>
      </w:r>
    </w:p>
    <w:p>
      <w:r>
        <w:t>FR: SG_GERICHTE HG.2006.1 du 3 juillet 2006</w:t>
      </w:r>
    </w:p>
    <w:p>
      <w:r>
        <w:t>IT: SG_GERICHTE HG.2006.1 del 3 luglio 2006</w:t>
      </w:r>
    </w:p>
    <w:p>
      <w:pPr>
        <w:pStyle w:val="Heading2"/>
      </w:pPr>
      <w:r>
        <w:t>Regeste</w:t>
      </w:r>
    </w:p>
    <w:p>
      <w:r>
        <w:t>Art. 24 Abs. 2, Art. 33 BEHG (SR 954.1). Eine nach Ablauf der (öffentlichen) Angebotsfrist beschlossene Kapitalerhöhung, die beim Anbieter zu einer Kapitalverwässerung führt, muss ausgeglichen werden. Die Aktionäre der Zielgesellschaft sind so zu stellen, wie wenn sie an der Kapitalerhöhung hätten teilnehmen können (Handelsgericht, 3. Juli 2006, HG.2006.1).</w:t>
      </w:r>
    </w:p>
    <w:p>
      <w:pPr>
        <w:pStyle w:val="Heading2"/>
      </w:pPr>
      <w:r>
        <w:t>Volltext</w:t>
      </w:r>
    </w:p>
    <w:p>
      <w:r>
        <w:t>St.Gallen Handelsgericht 03.07.2006 HG.2006.1 Saint-Gall Handelsgericht 03.07.2006 HG.2006.1 San Gallo Handelsgericht 03.07.2006 HG.2006.1</w:t>
      </w:r>
    </w:p>
    <w:p>
      <w:r>
        <w:t>Art. 24 Abs. 2, Art. 33 BEHG (SR 954.1). Eine nach Ablauf der (öffentlichen) Angebotsfrist beschlossene Kapitalerhöhung, die beim Anbieter zu einer Kapitalverwässerung führt, muss ausgeglichen werden. Die Aktionäre der Zielgesellschaft sind so zu stellen, wie wenn sie an der Kapitalerhöhung hätten teilnehmen können (Handelsgericht, 3. Juli 2006, HG.2006.1).</w:t>
      </w:r>
    </w:p>
    <w:p>
      <w:r>
        <w:t>St.Gallen Handelsgericht Saint-Gall Handelsgericht San Gallo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